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left="0" w:leftChars="0" w:right="0" w:rightChars="0" w:firstLine="720" w:firstLineChars="200"/>
        <w:jc w:val="center"/>
        <w:outlineLvl w:val="9"/>
        <w:rPr>
          <w:rFonts w:hint="eastAsia" w:ascii="方正小标宋_GBK" w:hAnsi="方正小标宋_GBK" w:eastAsia="方正小标宋_GBK" w:cs="方正小标宋_GBK"/>
          <w:b w:val="0"/>
          <w:bCs w:val="0"/>
          <w:sz w:val="44"/>
          <w:szCs w:val="44"/>
          <w:shd w:val="clear" w:color="auto" w:fill="auto"/>
        </w:rPr>
      </w:pPr>
      <w:r>
        <w:rPr>
          <w:rFonts w:hint="eastAsia" w:ascii="方正小标宋_GBK" w:hAnsi="方正小标宋_GBK" w:eastAsia="方正小标宋_GBK" w:cs="方正小标宋_GBK"/>
          <w:b w:val="0"/>
          <w:bCs w:val="0"/>
          <w:sz w:val="44"/>
          <w:szCs w:val="44"/>
          <w:shd w:val="clear" w:color="auto" w:fill="auto"/>
        </w:rPr>
        <w:t>中共忠县县委办公室（本级）2023年度</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left="0" w:leftChars="0" w:right="0" w:rightChars="0" w:firstLine="720" w:firstLineChars="200"/>
        <w:jc w:val="center"/>
        <w:outlineLvl w:val="9"/>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b w:val="0"/>
          <w:bCs w:val="0"/>
          <w:sz w:val="44"/>
          <w:szCs w:val="44"/>
          <w:shd w:val="clear" w:color="auto" w:fill="auto"/>
        </w:rPr>
        <w:t>决算公开说明</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Style w:val="9"/>
          <w:rFonts w:ascii="Times New Roman" w:hAnsi="Times New Roman" w:eastAsia="黑体" w:cs="黑体"/>
          <w:sz w:val="32"/>
          <w:szCs w:val="32"/>
          <w:shd w:val="clear" w:color="auto" w:fill="FFFFFF"/>
        </w:rPr>
      </w:pP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黑体" w:cs="黑体"/>
          <w:sz w:val="32"/>
          <w:szCs w:val="32"/>
        </w:rPr>
      </w:pPr>
      <w:r>
        <w:rPr>
          <w:rStyle w:val="9"/>
          <w:rFonts w:hint="eastAsia" w:ascii="方正黑体_GBK" w:hAnsi="方正黑体_GBK" w:eastAsia="方正黑体_GBK" w:cs="方正黑体_GBK"/>
          <w:b w:val="0"/>
          <w:bCs/>
          <w:sz w:val="32"/>
          <w:szCs w:val="32"/>
          <w:shd w:val="clear" w:color="auto" w:fill="FFFFFF"/>
        </w:rPr>
        <w:t>一、单位基本情况</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eastAsia" w:ascii="方正楷体_GBK" w:hAnsi="方正楷体_GBK" w:eastAsia="方正楷体_GBK" w:cs="方正楷体_GBK"/>
          <w:b w:val="0"/>
          <w:bCs/>
          <w:sz w:val="32"/>
          <w:szCs w:val="32"/>
        </w:rPr>
      </w:pPr>
      <w:r>
        <w:rPr>
          <w:rStyle w:val="9"/>
          <w:rFonts w:hint="eastAsia" w:ascii="方正楷体_GBK" w:hAnsi="方正楷体_GBK" w:eastAsia="方正楷体_GBK" w:cs="方正楷体_GBK"/>
          <w:b w:val="0"/>
          <w:bCs/>
          <w:sz w:val="32"/>
          <w:szCs w:val="32"/>
          <w:shd w:val="clear" w:color="auto" w:fill="FFFFFF"/>
        </w:rPr>
        <w:t>（一）职能职责</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1.</w:t>
      </w:r>
      <w:r>
        <w:rPr>
          <w:rFonts w:hint="eastAsia" w:ascii="方正仿宋_GBK" w:hAnsi="方正仿宋_GBK" w:eastAsia="方正仿宋_GBK" w:cs="方正仿宋_GBK"/>
          <w:b w:val="0"/>
          <w:spacing w:val="15"/>
          <w:kern w:val="0"/>
          <w:sz w:val="32"/>
          <w:szCs w:val="32"/>
          <w:shd w:val="clear" w:color="auto" w:fill="FFFFFF"/>
        </w:rPr>
        <w:t>围绕党的中心工作，协助县委抓好党的路线、方针、政策和县委重大决策、重要工作部署在全县的贯彻落实。</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2.</w:t>
      </w:r>
      <w:r>
        <w:rPr>
          <w:rFonts w:hint="eastAsia" w:ascii="方正仿宋_GBK" w:hAnsi="方正仿宋_GBK" w:eastAsia="方正仿宋_GBK" w:cs="方正仿宋_GBK"/>
          <w:b w:val="0"/>
          <w:spacing w:val="15"/>
          <w:kern w:val="0"/>
          <w:sz w:val="32"/>
          <w:szCs w:val="32"/>
          <w:shd w:val="clear" w:color="auto" w:fill="FFFFFF"/>
        </w:rPr>
        <w:t>收集和处理全县各乡镇（街道）、各部门、各单位的重要信息，协助县委协调处理突发事件，及时、准确地向市委和县委报告。</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3.</w:t>
      </w:r>
      <w:r>
        <w:rPr>
          <w:rFonts w:hint="eastAsia" w:ascii="方正仿宋_GBK" w:hAnsi="方正仿宋_GBK" w:eastAsia="方正仿宋_GBK" w:cs="方正仿宋_GBK"/>
          <w:b w:val="0"/>
          <w:spacing w:val="15"/>
          <w:kern w:val="0"/>
          <w:sz w:val="32"/>
          <w:szCs w:val="32"/>
          <w:shd w:val="clear" w:color="auto" w:fill="FFFFFF"/>
        </w:rPr>
        <w:t>按照县委要求，督促检查中央、市委、县委重大决策、决定，市委、县委领导指示、批示和工作部署在全县各乡镇（街道）、县级各部门的贯彻落实情况，承办市委、县委领导批示、交办事项的督办落实。</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4.</w:t>
      </w:r>
      <w:r>
        <w:rPr>
          <w:rFonts w:hint="eastAsia" w:ascii="方正仿宋_GBK" w:hAnsi="方正仿宋_GBK" w:eastAsia="方正仿宋_GBK" w:cs="方正仿宋_GBK"/>
          <w:b w:val="0"/>
          <w:spacing w:val="15"/>
          <w:kern w:val="0"/>
          <w:sz w:val="32"/>
          <w:szCs w:val="32"/>
          <w:shd w:val="clear" w:color="auto" w:fill="FFFFFF"/>
        </w:rPr>
        <w:t>负责县党代会、县委全会、县委常委会会议、书记专题会等会议的会务组织、记录整理工作。</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5.</w:t>
      </w:r>
      <w:r>
        <w:rPr>
          <w:rFonts w:hint="eastAsia" w:ascii="方正仿宋_GBK" w:hAnsi="方正仿宋_GBK" w:eastAsia="方正仿宋_GBK" w:cs="方正仿宋_GBK"/>
          <w:b w:val="0"/>
          <w:spacing w:val="15"/>
          <w:kern w:val="0"/>
          <w:sz w:val="32"/>
          <w:szCs w:val="32"/>
          <w:shd w:val="clear" w:color="auto" w:fill="FFFFFF"/>
        </w:rPr>
        <w:t>负责起草县委重要文件、文稿；负责县委的公文处理、文件材料印刷、文件刊物发送及档案管理等工作。</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6.</w:t>
      </w:r>
      <w:r>
        <w:rPr>
          <w:rFonts w:hint="eastAsia" w:ascii="方正仿宋_GBK" w:hAnsi="方正仿宋_GBK" w:eastAsia="方正仿宋_GBK" w:cs="方正仿宋_GBK"/>
          <w:b w:val="0"/>
          <w:spacing w:val="15"/>
          <w:kern w:val="0"/>
          <w:sz w:val="32"/>
          <w:szCs w:val="32"/>
          <w:shd w:val="clear" w:color="auto" w:fill="FFFFFF"/>
        </w:rPr>
        <w:t>协助县委统筹协调全县有关重大工作事项，协调安排县委领导同志的有关事务活动，协调县人大常委会、县政府、县政协的有关活动和有关事务工作。</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7.</w:t>
      </w:r>
      <w:r>
        <w:rPr>
          <w:rFonts w:hint="eastAsia" w:ascii="方正仿宋_GBK" w:hAnsi="方正仿宋_GBK" w:eastAsia="方正仿宋_GBK" w:cs="方正仿宋_GBK"/>
          <w:b w:val="0"/>
          <w:spacing w:val="15"/>
          <w:kern w:val="0"/>
          <w:sz w:val="32"/>
          <w:szCs w:val="32"/>
          <w:shd w:val="clear" w:color="auto" w:fill="FFFFFF"/>
        </w:rPr>
        <w:t>收集掌握全县经济、政治、社会等方面的基本情况和重大动态，对带全局性、战略性的问题进行调查研究，为县委宏观决策提供依据和建议方案。</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8.</w:t>
      </w:r>
      <w:r>
        <w:rPr>
          <w:rFonts w:hint="eastAsia" w:ascii="方正仿宋_GBK" w:hAnsi="方正仿宋_GBK" w:eastAsia="方正仿宋_GBK" w:cs="方正仿宋_GBK"/>
          <w:b w:val="0"/>
          <w:spacing w:val="15"/>
          <w:kern w:val="0"/>
          <w:sz w:val="32"/>
          <w:szCs w:val="32"/>
          <w:shd w:val="clear" w:color="auto" w:fill="FFFFFF"/>
        </w:rPr>
        <w:t>统筹协调县委全面深化改革工作。</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9.</w:t>
      </w:r>
      <w:r>
        <w:rPr>
          <w:rFonts w:hint="eastAsia" w:ascii="方正仿宋_GBK" w:hAnsi="方正仿宋_GBK" w:eastAsia="方正仿宋_GBK" w:cs="方正仿宋_GBK"/>
          <w:b w:val="0"/>
          <w:spacing w:val="15"/>
          <w:kern w:val="0"/>
          <w:sz w:val="32"/>
          <w:szCs w:val="32"/>
          <w:shd w:val="clear" w:color="auto" w:fill="FFFFFF"/>
        </w:rPr>
        <w:t>负责县委的公务接洽工作，负责县委重要接待工作。</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10.</w:t>
      </w:r>
      <w:r>
        <w:rPr>
          <w:rFonts w:hint="eastAsia" w:ascii="方正仿宋_GBK" w:hAnsi="方正仿宋_GBK" w:eastAsia="方正仿宋_GBK" w:cs="方正仿宋_GBK"/>
          <w:b w:val="0"/>
          <w:spacing w:val="15"/>
          <w:kern w:val="0"/>
          <w:sz w:val="32"/>
          <w:szCs w:val="32"/>
          <w:shd w:val="clear" w:color="auto" w:fill="FFFFFF"/>
        </w:rPr>
        <w:t>负责县委规范性文件审核、报备工作，负责对全县党内法规业务工作进行指导。</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11.</w:t>
      </w:r>
      <w:r>
        <w:rPr>
          <w:rFonts w:hint="eastAsia" w:ascii="方正仿宋_GBK" w:hAnsi="方正仿宋_GBK" w:eastAsia="方正仿宋_GBK" w:cs="方正仿宋_GBK"/>
          <w:b w:val="0"/>
          <w:spacing w:val="15"/>
          <w:kern w:val="0"/>
          <w:sz w:val="32"/>
          <w:szCs w:val="32"/>
          <w:shd w:val="clear" w:color="auto" w:fill="FFFFFF"/>
        </w:rPr>
        <w:t>贯彻执行国家有关档案工作的法律、法规，统筹规划、监督指导全县档案工作。</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方正仿宋_GBK" w:cs="Times New Roman"/>
          <w:b w:val="0"/>
          <w:spacing w:val="15"/>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12.</w:t>
      </w:r>
      <w:r>
        <w:rPr>
          <w:rFonts w:hint="eastAsia" w:ascii="方正仿宋_GBK" w:hAnsi="方正仿宋_GBK" w:eastAsia="方正仿宋_GBK" w:cs="方正仿宋_GBK"/>
          <w:b w:val="0"/>
          <w:spacing w:val="15"/>
          <w:kern w:val="0"/>
          <w:sz w:val="32"/>
          <w:szCs w:val="32"/>
          <w:shd w:val="clear" w:color="auto" w:fill="FFFFFF"/>
        </w:rPr>
        <w:t>负责全县机要、密码、保密、专用通信相关工作。</w:t>
      </w:r>
    </w:p>
    <w:p>
      <w:pPr>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textAlignment w:val="auto"/>
        <w:rPr>
          <w:rFonts w:hint="default" w:ascii="Times New Roman" w:hAnsi="Times New Roman" w:eastAsia="宋体" w:cs="宋体"/>
          <w:b w:val="0"/>
          <w:kern w:val="0"/>
          <w:sz w:val="32"/>
          <w:szCs w:val="32"/>
          <w:shd w:val="clear" w:color="auto" w:fill="FFFFFF"/>
        </w:rPr>
      </w:pPr>
      <w:r>
        <w:rPr>
          <w:rFonts w:hint="default" w:ascii="Times New Roman" w:hAnsi="Times New Roman" w:eastAsia="方正仿宋_GBK" w:cs="Times New Roman"/>
          <w:b w:val="0"/>
          <w:spacing w:val="15"/>
          <w:kern w:val="0"/>
          <w:sz w:val="32"/>
          <w:szCs w:val="32"/>
          <w:shd w:val="clear" w:color="auto" w:fill="FFFFFF"/>
        </w:rPr>
        <w:t>13.</w:t>
      </w:r>
      <w:r>
        <w:rPr>
          <w:rFonts w:hint="eastAsia" w:ascii="方正仿宋_GBK" w:hAnsi="方正仿宋_GBK" w:eastAsia="方正仿宋_GBK" w:cs="方正仿宋_GBK"/>
          <w:b w:val="0"/>
          <w:spacing w:val="15"/>
          <w:kern w:val="0"/>
          <w:sz w:val="32"/>
          <w:szCs w:val="32"/>
          <w:shd w:val="clear" w:color="auto" w:fill="FFFFFF"/>
        </w:rPr>
        <w:t>完成县委交办的其他工作。</w:t>
      </w:r>
    </w:p>
    <w:p>
      <w:pPr>
        <w:pStyle w:val="13"/>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Autospacing="0" w:line="594" w:lineRule="exact"/>
        <w:ind w:left="0" w:firstLine="640" w:firstLineChars="200"/>
        <w:jc w:val="left"/>
        <w:textAlignment w:val="auto"/>
        <w:rPr>
          <w:rFonts w:hint="eastAsia" w:ascii="Times New Roman" w:hAnsi="Times New Roman" w:eastAsia="方正楷体_GBK" w:cs="方正楷体_GBK"/>
          <w:b w:val="0"/>
          <w:kern w:val="0"/>
          <w:sz w:val="32"/>
          <w:szCs w:val="32"/>
        </w:rPr>
      </w:pPr>
      <w:r>
        <w:rPr>
          <w:rStyle w:val="17"/>
          <w:rFonts w:hint="eastAsia" w:ascii="方正楷体_GBK" w:hAnsi="方正楷体_GBK" w:eastAsia="方正楷体_GBK" w:cs="方正楷体_GBK"/>
          <w:b w:val="0"/>
          <w:sz w:val="32"/>
          <w:szCs w:val="32"/>
          <w:shd w:val="clear" w:color="auto" w:fill="FFFFFF"/>
        </w:rPr>
        <w:t>（二）机构设置</w:t>
      </w:r>
    </w:p>
    <w:p>
      <w:pPr>
        <w:pStyle w:val="13"/>
        <w:keepNext w:val="0"/>
        <w:keepLines w:val="0"/>
        <w:pageBreakBefore w:val="0"/>
        <w:widowControl/>
        <w:suppressLineNumbers w:val="0"/>
        <w:shd w:val="clear" w:color="auto" w:fill="FFFFFF"/>
        <w:kinsoku/>
        <w:wordWrap/>
        <w:overflowPunct/>
        <w:topLinePunct w:val="0"/>
        <w:autoSpaceDE w:val="0"/>
        <w:autoSpaceDN/>
        <w:bidi w:val="0"/>
        <w:adjustRightInd w:val="0"/>
        <w:snapToGrid w:val="0"/>
        <w:spacing w:beforeAutospacing="0" w:afterAutospacing="0" w:line="594" w:lineRule="exact"/>
        <w:ind w:left="0" w:firstLine="700" w:firstLineChars="200"/>
        <w:jc w:val="left"/>
        <w:textAlignment w:val="auto"/>
        <w:rPr>
          <w:rFonts w:hint="eastAsia" w:ascii="Times New Roman" w:hAnsi="Times New Roman" w:eastAsia="方正仿宋_GBK" w:cs="Times New Roman"/>
          <w:b w:val="0"/>
          <w:spacing w:val="15"/>
          <w:kern w:val="0"/>
          <w:sz w:val="32"/>
          <w:szCs w:val="32"/>
          <w:shd w:val="clear" w:color="auto" w:fill="FFFFFF"/>
        </w:rPr>
      </w:pPr>
      <w:r>
        <w:rPr>
          <w:rFonts w:hint="eastAsia" w:ascii="方正仿宋_GBK" w:hAnsi="方正仿宋_GBK" w:eastAsia="方正仿宋_GBK" w:cs="方正仿宋_GBK"/>
          <w:b w:val="0"/>
          <w:spacing w:val="15"/>
          <w:kern w:val="0"/>
          <w:sz w:val="32"/>
          <w:szCs w:val="32"/>
          <w:shd w:val="clear" w:color="auto" w:fill="FFFFFF"/>
        </w:rPr>
        <w:t>中共忠县县委办公室是协助县委领导处理县委日常工作的办事机构，也是主管县委保密、机要、档案工作的机构，为正科级，列县委机构序列，加挂县委保密委员会办公室（县国家保密局）、县委机要局（县密码管理局）、县档案局牌子。中共忠县县委全面深化改革委员会办公室设在县委办公室，接受中共忠县县委全面深化改革委员会直接领导，承担中共忠县县委全面深化改革委员会的具体工作。</w:t>
      </w:r>
    </w:p>
    <w:p>
      <w:pPr>
        <w:keepNext w:val="0"/>
        <w:keepLines w:val="0"/>
        <w:pageBreakBefore w:val="0"/>
        <w:kinsoku/>
        <w:wordWrap/>
        <w:overflowPunct/>
        <w:topLinePunct w:val="0"/>
        <w:autoSpaceDE/>
        <w:autoSpaceDN/>
        <w:bidi w:val="0"/>
        <w:adjustRightInd/>
        <w:snapToGrid w:val="0"/>
        <w:spacing w:line="594" w:lineRule="exact"/>
        <w:ind w:left="0" w:leftChars="0" w:right="0" w:rightChars="0" w:firstLine="700" w:firstLineChars="200"/>
        <w:outlineLvl w:val="9"/>
        <w:rPr>
          <w:rFonts w:hint="eastAsia" w:ascii="Times New Roman" w:hAnsi="Times New Roman" w:eastAsia="方正仿宋_GBK"/>
          <w:b w:val="0"/>
          <w:sz w:val="32"/>
          <w:szCs w:val="32"/>
        </w:rPr>
      </w:pPr>
      <w:r>
        <w:rPr>
          <w:rFonts w:hint="eastAsia" w:ascii="方正仿宋_GBK" w:hAnsi="方正仿宋_GBK" w:eastAsia="方正仿宋_GBK" w:cs="方正仿宋_GBK"/>
          <w:b w:val="0"/>
          <w:spacing w:val="15"/>
          <w:kern w:val="0"/>
          <w:sz w:val="32"/>
          <w:szCs w:val="32"/>
          <w:shd w:val="clear" w:color="auto" w:fill="FFFFFF"/>
        </w:rPr>
        <w:t>中共忠县县委办公室内设科室为</w:t>
      </w:r>
      <w:r>
        <w:rPr>
          <w:rFonts w:hint="default" w:ascii="Times New Roman" w:hAnsi="Times New Roman" w:eastAsia="方正仿宋_GBK" w:cs="Times New Roman"/>
          <w:b w:val="0"/>
          <w:spacing w:val="15"/>
          <w:kern w:val="0"/>
          <w:sz w:val="32"/>
          <w:szCs w:val="32"/>
          <w:shd w:val="clear" w:color="auto" w:fill="FFFFFF"/>
        </w:rPr>
        <w:t>1</w:t>
      </w:r>
      <w:r>
        <w:rPr>
          <w:rFonts w:hint="eastAsia" w:ascii="Times New Roman" w:hAnsi="Times New Roman" w:eastAsia="方正仿宋_GBK" w:cs="Times New Roman"/>
          <w:b w:val="0"/>
          <w:spacing w:val="15"/>
          <w:kern w:val="0"/>
          <w:sz w:val="32"/>
          <w:szCs w:val="32"/>
          <w:shd w:val="clear" w:color="auto" w:fill="FFFFFF"/>
          <w:lang w:val="en-US" w:eastAsia="zh-CN"/>
        </w:rPr>
        <w:t>7</w:t>
      </w:r>
      <w:r>
        <w:rPr>
          <w:rFonts w:hint="eastAsia" w:ascii="方正仿宋_GBK" w:hAnsi="方正仿宋_GBK" w:eastAsia="方正仿宋_GBK" w:cs="方正仿宋_GBK"/>
          <w:b w:val="0"/>
          <w:spacing w:val="15"/>
          <w:kern w:val="0"/>
          <w:sz w:val="32"/>
          <w:szCs w:val="32"/>
          <w:shd w:val="clear" w:color="auto" w:fill="FFFFFF"/>
        </w:rPr>
        <w:t>个，具体为：设综合科、秘书一科、秘书二科、会联科、信息科、改革科、调研一科、调研二科、法规科、督查</w:t>
      </w:r>
      <w:r>
        <w:rPr>
          <w:rFonts w:hint="eastAsia" w:ascii="方正仿宋_GBK" w:hAnsi="方正仿宋_GBK" w:eastAsia="方正仿宋_GBK" w:cs="方正仿宋_GBK"/>
          <w:b w:val="0"/>
          <w:spacing w:val="15"/>
          <w:kern w:val="0"/>
          <w:sz w:val="32"/>
          <w:szCs w:val="32"/>
          <w:shd w:val="clear" w:color="auto" w:fill="FFFFFF"/>
          <w:lang w:eastAsia="zh-CN"/>
        </w:rPr>
        <w:t>一</w:t>
      </w:r>
      <w:r>
        <w:rPr>
          <w:rFonts w:hint="eastAsia" w:ascii="方正仿宋_GBK" w:hAnsi="方正仿宋_GBK" w:eastAsia="方正仿宋_GBK" w:cs="方正仿宋_GBK"/>
          <w:b w:val="0"/>
          <w:spacing w:val="15"/>
          <w:kern w:val="0"/>
          <w:sz w:val="32"/>
          <w:szCs w:val="32"/>
          <w:shd w:val="clear" w:color="auto" w:fill="FFFFFF"/>
        </w:rPr>
        <w:t>科、督查</w:t>
      </w:r>
      <w:r>
        <w:rPr>
          <w:rFonts w:hint="eastAsia" w:ascii="方正仿宋_GBK" w:hAnsi="方正仿宋_GBK" w:eastAsia="方正仿宋_GBK" w:cs="方正仿宋_GBK"/>
          <w:b w:val="0"/>
          <w:spacing w:val="15"/>
          <w:kern w:val="0"/>
          <w:sz w:val="32"/>
          <w:szCs w:val="32"/>
          <w:shd w:val="clear" w:color="auto" w:fill="FFFFFF"/>
          <w:lang w:eastAsia="zh-CN"/>
        </w:rPr>
        <w:t>二</w:t>
      </w:r>
      <w:r>
        <w:rPr>
          <w:rFonts w:hint="eastAsia" w:ascii="方正仿宋_GBK" w:hAnsi="方正仿宋_GBK" w:eastAsia="方正仿宋_GBK" w:cs="方正仿宋_GBK"/>
          <w:b w:val="0"/>
          <w:spacing w:val="15"/>
          <w:kern w:val="0"/>
          <w:sz w:val="32"/>
          <w:szCs w:val="32"/>
          <w:shd w:val="clear" w:color="auto" w:fill="FFFFFF"/>
        </w:rPr>
        <w:t>科</w:t>
      </w:r>
      <w:r>
        <w:rPr>
          <w:rFonts w:hint="eastAsia" w:ascii="方正仿宋_GBK" w:hAnsi="方正仿宋_GBK" w:eastAsia="方正仿宋_GBK" w:cs="方正仿宋_GBK"/>
          <w:b w:val="0"/>
          <w:spacing w:val="15"/>
          <w:kern w:val="0"/>
          <w:sz w:val="32"/>
          <w:szCs w:val="32"/>
          <w:shd w:val="clear" w:color="auto" w:fill="FFFFFF"/>
          <w:lang w:eastAsia="zh-CN"/>
        </w:rPr>
        <w:t>、</w:t>
      </w:r>
      <w:r>
        <w:rPr>
          <w:rFonts w:hint="eastAsia" w:ascii="方正仿宋_GBK" w:hAnsi="方正仿宋_GBK" w:eastAsia="方正仿宋_GBK" w:cs="方正仿宋_GBK"/>
          <w:b w:val="0"/>
          <w:spacing w:val="15"/>
          <w:kern w:val="0"/>
          <w:sz w:val="32"/>
          <w:szCs w:val="32"/>
          <w:shd w:val="clear" w:color="auto" w:fill="FFFFFF"/>
        </w:rPr>
        <w:t>值班科、档案科、行政科、保密科、机要密码科</w:t>
      </w:r>
      <w:r>
        <w:rPr>
          <w:rFonts w:hint="eastAsia" w:ascii="方正仿宋_GBK" w:hAnsi="方正仿宋_GBK" w:eastAsia="方正仿宋_GBK" w:cs="方正仿宋_GBK"/>
          <w:b w:val="0"/>
          <w:spacing w:val="15"/>
          <w:kern w:val="0"/>
          <w:sz w:val="32"/>
          <w:szCs w:val="32"/>
          <w:shd w:val="clear" w:color="auto" w:fill="FFFFFF"/>
          <w:lang w:eastAsia="zh-CN"/>
        </w:rPr>
        <w:t>、国家安全科</w:t>
      </w:r>
      <w:r>
        <w:rPr>
          <w:rFonts w:hint="eastAsia" w:ascii="方正仿宋_GBK" w:hAnsi="方正仿宋_GBK" w:eastAsia="方正仿宋_GBK" w:cs="方正仿宋_GBK"/>
          <w:b w:val="0"/>
          <w:spacing w:val="15"/>
          <w:kern w:val="0"/>
          <w:sz w:val="32"/>
          <w:szCs w:val="32"/>
          <w:shd w:val="clear" w:color="auto" w:fill="FFFFFF"/>
        </w:rPr>
        <w:t>。</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Style w:val="9"/>
          <w:rFonts w:hint="eastAsia" w:ascii="方正黑体_GBK" w:hAnsi="方正黑体_GBK" w:eastAsia="方正黑体_GBK" w:cs="方正黑体_GBK"/>
          <w:b w:val="0"/>
          <w:bCs/>
          <w:sz w:val="32"/>
          <w:szCs w:val="32"/>
          <w:shd w:val="clear" w:color="auto" w:fill="FFFFFF"/>
        </w:rPr>
      </w:pPr>
      <w:r>
        <w:rPr>
          <w:rStyle w:val="9"/>
          <w:rFonts w:hint="eastAsia" w:ascii="方正黑体_GBK" w:hAnsi="方正黑体_GBK" w:eastAsia="方正黑体_GBK" w:cs="方正黑体_GBK"/>
          <w:b w:val="0"/>
          <w:bCs/>
          <w:sz w:val="32"/>
          <w:szCs w:val="32"/>
          <w:shd w:val="clear" w:color="auto" w:fill="FFFFFF"/>
        </w:rPr>
        <w:t>二、单位决算情况说明</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（一）收入支出决算总体情况说明</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方正仿宋_GBK" w:cs="方正仿宋_GBK"/>
          <w:sz w:val="32"/>
          <w:szCs w:val="32"/>
        </w:rPr>
      </w:pPr>
      <w:r>
        <w:rPr>
          <w:rStyle w:val="9"/>
          <w:rFonts w:hint="default" w:ascii="Times New Roman" w:hAnsi="Times New Roman" w:eastAsia="方正仿宋_GBK" w:cs="Times New Roman"/>
          <w:b w:val="0"/>
          <w:bCs/>
          <w:sz w:val="32"/>
          <w:szCs w:val="32"/>
          <w:shd w:val="clear" w:color="auto" w:fill="FFFFFF"/>
        </w:rPr>
        <w:t>1.</w:t>
      </w:r>
      <w:r>
        <w:rPr>
          <w:rStyle w:val="9"/>
          <w:rFonts w:hint="eastAsia" w:ascii="方正仿宋_GBK" w:hAnsi="方正仿宋_GBK" w:eastAsia="方正仿宋_GBK" w:cs="方正仿宋_GBK"/>
          <w:b w:val="0"/>
          <w:bCs/>
          <w:sz w:val="32"/>
          <w:szCs w:val="32"/>
          <w:shd w:val="clear" w:color="auto" w:fill="FFFFFF"/>
        </w:rPr>
        <w:t>总体情况。</w:t>
      </w:r>
      <w:r>
        <w:rPr>
          <w:rFonts w:ascii="Times New Roman" w:hAnsi="Times New Roman" w:eastAsia="方正仿宋_GBK" w:cs="方正仿宋_GBK"/>
          <w:sz w:val="32"/>
          <w:szCs w:val="32"/>
          <w:shd w:val="clear" w:color="auto" w:fill="FFFFFF"/>
        </w:rPr>
        <w:t>2023年度收入总计1442.01万元，支出总计</w:t>
      </w:r>
      <w:r>
        <w:rPr>
          <w:rFonts w:ascii="Times New Roman" w:hAnsi="Times New Roman" w:eastAsia="方正仿宋_GBK" w:cs="方正仿宋_GBK"/>
          <w:sz w:val="32"/>
          <w:szCs w:val="32"/>
        </w:rPr>
        <w:t>1442.01</w:t>
      </w:r>
      <w:r>
        <w:rPr>
          <w:rFonts w:ascii="Times New Roman" w:hAnsi="Times New Roman" w:eastAsia="方正仿宋_GBK" w:cs="方正仿宋_GBK"/>
          <w:sz w:val="32"/>
          <w:szCs w:val="32"/>
          <w:shd w:val="clear" w:color="auto" w:fill="FFFFFF"/>
        </w:rPr>
        <w:t>万元。收支较上年决算数增加214.46万元，增长17.47%，主要原因是</w:t>
      </w:r>
      <w:r>
        <w:rPr>
          <w:rFonts w:hint="eastAsia" w:ascii="Times New Roman" w:hAnsi="Times New Roman" w:eastAsia="方正仿宋_GBK"/>
          <w:b w:val="0"/>
          <w:sz w:val="32"/>
          <w:szCs w:val="32"/>
          <w:lang w:val="en-US" w:eastAsia="zh-CN"/>
        </w:rPr>
        <w:t>本单位2023年末在职职工人数增加2人导致人员经费增加，2023年度清算发放以前年度津补贴，支付保密场所检查装备费用，导致全年决算数增多。</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方正仿宋_GBK" w:cs="方正仿宋_GBK"/>
          <w:sz w:val="32"/>
          <w:szCs w:val="32"/>
          <w:shd w:val="clear" w:color="auto" w:fill="FFFFFF"/>
        </w:rPr>
      </w:pPr>
      <w:r>
        <w:rPr>
          <w:rStyle w:val="9"/>
          <w:rFonts w:ascii="Times New Roman" w:hAnsi="Times New Roman" w:eastAsia="方正仿宋_GBK" w:cs="方正仿宋_GBK"/>
          <w:b w:val="0"/>
          <w:bCs/>
          <w:sz w:val="32"/>
          <w:szCs w:val="32"/>
          <w:shd w:val="clear" w:color="auto" w:fill="FFFFFF"/>
        </w:rPr>
        <w:t>2</w:t>
      </w:r>
      <w:r>
        <w:rPr>
          <w:rStyle w:val="9"/>
          <w:rFonts w:hint="eastAsia" w:ascii="方正仿宋_GBK" w:hAnsi="方正仿宋_GBK" w:eastAsia="方正仿宋_GBK" w:cs="方正仿宋_GBK"/>
          <w:b w:val="0"/>
          <w:bCs/>
          <w:sz w:val="32"/>
          <w:szCs w:val="32"/>
          <w:shd w:val="clear" w:color="auto" w:fill="FFFFFF"/>
        </w:rPr>
        <w:t>.收入情况。</w:t>
      </w:r>
      <w:r>
        <w:rPr>
          <w:rFonts w:ascii="Times New Roman" w:hAnsi="Times New Roman" w:eastAsia="方正仿宋_GBK" w:cs="方正仿宋_GBK"/>
          <w:sz w:val="32"/>
          <w:szCs w:val="32"/>
          <w:shd w:val="clear" w:color="auto" w:fill="FFFFFF"/>
        </w:rPr>
        <w:t>2023年度收入合计1442.01万元，较上年决算数增加214.46万元，增长17.47%，主要原因是</w:t>
      </w:r>
      <w:r>
        <w:rPr>
          <w:rFonts w:hint="eastAsia" w:ascii="Times New Roman" w:hAnsi="Times New Roman" w:eastAsia="方正仿宋_GBK"/>
          <w:b w:val="0"/>
          <w:sz w:val="32"/>
          <w:szCs w:val="32"/>
          <w:lang w:val="en-US" w:eastAsia="zh-CN"/>
        </w:rPr>
        <w:t>本单位2023年末在职职工人数增加2人导致人员经费增加，2023年度清算发放以前年度津补贴，支付保密场所检查装备费用，导致全年决算数增多。</w:t>
      </w:r>
      <w:r>
        <w:rPr>
          <w:rFonts w:ascii="Times New Roman" w:hAnsi="Times New Roman" w:eastAsia="方正仿宋_GBK" w:cs="方正仿宋_GBK"/>
          <w:sz w:val="32"/>
          <w:szCs w:val="32"/>
          <w:shd w:val="clear" w:color="auto" w:fill="FFFFFF"/>
        </w:rPr>
        <w:t>其中：财政拨款收入</w:t>
      </w:r>
      <w:r>
        <w:rPr>
          <w:rFonts w:ascii="Times New Roman" w:hAnsi="Times New Roman" w:eastAsia="方正仿宋_GBK" w:cs="方正仿宋_GBK"/>
          <w:sz w:val="32"/>
          <w:szCs w:val="32"/>
        </w:rPr>
        <w:t>1442.01</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100</w:t>
      </w:r>
      <w:r>
        <w:rPr>
          <w:rFonts w:ascii="Times New Roman" w:hAnsi="Times New Roman" w:eastAsia="方正仿宋_GBK" w:cs="方正仿宋_GBK"/>
          <w:sz w:val="32"/>
          <w:szCs w:val="32"/>
          <w:shd w:val="clear" w:color="auto" w:fill="FFFFFF"/>
        </w:rPr>
        <w:t>%。此外，使用非财政拨款结余和专用结余</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万元，年初结转和结余</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方正仿宋_GBK" w:cs="方正仿宋_GBK"/>
          <w:sz w:val="32"/>
          <w:szCs w:val="32"/>
          <w:shd w:val="clear" w:color="auto" w:fill="FFFFFF"/>
        </w:rPr>
      </w:pPr>
      <w:r>
        <w:rPr>
          <w:rStyle w:val="9"/>
          <w:rFonts w:ascii="Times New Roman" w:hAnsi="Times New Roman" w:eastAsia="方正仿宋_GBK" w:cs="方正仿宋_GBK"/>
          <w:b w:val="0"/>
          <w:bCs/>
          <w:sz w:val="32"/>
          <w:szCs w:val="32"/>
          <w:shd w:val="clear" w:color="auto" w:fill="FFFFFF"/>
        </w:rPr>
        <w:t>3.支出情况。</w:t>
      </w:r>
      <w:r>
        <w:rPr>
          <w:rFonts w:ascii="Times New Roman" w:hAnsi="Times New Roman" w:eastAsia="方正仿宋_GBK" w:cs="方正仿宋_GBK"/>
          <w:sz w:val="32"/>
          <w:szCs w:val="32"/>
          <w:shd w:val="clear" w:color="auto" w:fill="FFFFFF"/>
        </w:rPr>
        <w:t>2023年度支出合计</w:t>
      </w:r>
      <w:r>
        <w:rPr>
          <w:rFonts w:ascii="Times New Roman" w:hAnsi="Times New Roman" w:eastAsia="方正仿宋_GBK" w:cs="方正仿宋_GBK"/>
          <w:sz w:val="32"/>
          <w:szCs w:val="32"/>
        </w:rPr>
        <w:t>1442.01</w:t>
      </w:r>
      <w:r>
        <w:rPr>
          <w:rFonts w:ascii="Times New Roman" w:hAnsi="Times New Roman" w:eastAsia="方正仿宋_GBK" w:cs="方正仿宋_GBK"/>
          <w:sz w:val="32"/>
          <w:szCs w:val="32"/>
          <w:shd w:val="clear" w:color="auto" w:fill="FFFFFF"/>
        </w:rPr>
        <w:t>万元，较上年决算数增加214.46万元，增长17.47%，主要原因是</w:t>
      </w:r>
      <w:r>
        <w:rPr>
          <w:rFonts w:hint="eastAsia" w:ascii="Times New Roman" w:hAnsi="Times New Roman" w:eastAsia="方正仿宋_GBK"/>
          <w:b w:val="0"/>
          <w:sz w:val="32"/>
          <w:szCs w:val="32"/>
          <w:lang w:val="en-US" w:eastAsia="zh-CN"/>
        </w:rPr>
        <w:t>本单位2023年末在职职工人数增加2人导致人员经费增加，2023年度清算发放以前年度津补贴，支付保密场所检查装备费用，导致全年决算数增多。</w:t>
      </w:r>
      <w:r>
        <w:rPr>
          <w:rFonts w:ascii="Times New Roman" w:hAnsi="Times New Roman" w:eastAsia="方正仿宋_GBK" w:cs="方正仿宋_GBK"/>
          <w:sz w:val="32"/>
          <w:szCs w:val="32"/>
          <w:shd w:val="clear" w:color="auto" w:fill="FFFFFF"/>
        </w:rPr>
        <w:t>其中：基本支出</w:t>
      </w:r>
      <w:r>
        <w:rPr>
          <w:rFonts w:ascii="Times New Roman" w:hAnsi="Times New Roman" w:eastAsia="方正仿宋_GBK" w:cs="方正仿宋_GBK"/>
          <w:sz w:val="32"/>
          <w:szCs w:val="32"/>
        </w:rPr>
        <w:t>979.79</w:t>
      </w:r>
      <w:r>
        <w:rPr>
          <w:rFonts w:ascii="Times New Roman" w:hAnsi="Times New Roman" w:eastAsia="方正仿宋_GBK" w:cs="方正仿宋_GBK"/>
          <w:sz w:val="32"/>
          <w:szCs w:val="32"/>
          <w:shd w:val="clear" w:color="auto" w:fill="FFFFFF"/>
        </w:rPr>
        <w:t>万元，占67.95%；项目支出</w:t>
      </w:r>
      <w:r>
        <w:rPr>
          <w:rFonts w:ascii="Times New Roman" w:hAnsi="Times New Roman" w:eastAsia="方正仿宋_GBK" w:cs="方正仿宋_GBK"/>
          <w:sz w:val="32"/>
          <w:szCs w:val="32"/>
        </w:rPr>
        <w:t>462.21</w:t>
      </w:r>
      <w:r>
        <w:rPr>
          <w:rFonts w:ascii="Times New Roman" w:hAnsi="Times New Roman" w:eastAsia="方正仿宋_GBK" w:cs="方正仿宋_GBK"/>
          <w:sz w:val="32"/>
          <w:szCs w:val="32"/>
          <w:shd w:val="clear" w:color="auto" w:fill="FFFFFF"/>
        </w:rPr>
        <w:t>万元，占32.05%。此外，结余分配</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b w:val="0"/>
          <w:bCs/>
          <w:sz w:val="32"/>
          <w:szCs w:val="32"/>
          <w:shd w:val="clear" w:color="auto" w:fill="FFFFFF"/>
        </w:rPr>
        <w:t>4.结转结余情况。</w:t>
      </w:r>
      <w:r>
        <w:rPr>
          <w:rFonts w:ascii="Times New Roman" w:hAnsi="Times New Roman" w:eastAsia="方正仿宋_GBK" w:cs="方正仿宋_GBK"/>
          <w:sz w:val="32"/>
          <w:szCs w:val="32"/>
          <w:shd w:val="clear" w:color="auto" w:fill="FFFFFF"/>
        </w:rPr>
        <w:t>2023年度年末结转和结余</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万元，较上年决算数无增减</w:t>
      </w:r>
      <w:r>
        <w:rPr>
          <w:rFonts w:hint="eastAsia" w:ascii="Times New Roman" w:hAnsi="Times New Roman" w:eastAsia="方正仿宋_GBK" w:cs="方正仿宋_GBK"/>
          <w:sz w:val="32"/>
          <w:szCs w:val="32"/>
          <w:shd w:val="clear" w:color="auto" w:fill="FFFFFF"/>
          <w:lang w:eastAsia="zh-CN"/>
        </w:rPr>
        <w:t>。</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（二）财政拨款收入支出决算总体情况说明</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2023年度财政拨款收、支总计1442.01万元。与2022年相比，财政拨款收、支总计各增加214.46万元，增长17.47%。主要原因是</w:t>
      </w:r>
      <w:r>
        <w:rPr>
          <w:rFonts w:hint="eastAsia" w:ascii="Times New Roman" w:hAnsi="Times New Roman" w:eastAsia="方正仿宋_GBK"/>
          <w:b w:val="0"/>
          <w:sz w:val="32"/>
          <w:szCs w:val="32"/>
          <w:lang w:val="en-US" w:eastAsia="zh-CN"/>
        </w:rPr>
        <w:t>本单位2023年末在职职工人数增加2人导致人员经费增加，2023年度清算发放以前年度津补贴，支付保密场所检查装备费用，导致全年决算数增多。</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（三）一般公共预算财政拨款收入支出决算情况说明</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b w:val="0"/>
          <w:bCs/>
          <w:sz w:val="32"/>
          <w:szCs w:val="32"/>
          <w:shd w:val="clear" w:color="auto" w:fill="FFFFFF"/>
        </w:rPr>
        <w:t>1.收入情况。</w:t>
      </w:r>
      <w:r>
        <w:rPr>
          <w:rFonts w:ascii="Times New Roman" w:hAnsi="Times New Roman" w:eastAsia="方正仿宋_GBK" w:cs="方正仿宋_GBK"/>
          <w:sz w:val="32"/>
          <w:szCs w:val="32"/>
          <w:shd w:val="clear" w:color="auto" w:fill="FFFFFF"/>
        </w:rPr>
        <w:t>2023年度一般公共预算财政拨款收入</w:t>
      </w:r>
      <w:r>
        <w:rPr>
          <w:rFonts w:ascii="Times New Roman" w:hAnsi="Times New Roman" w:eastAsia="方正仿宋_GBK" w:cs="方正仿宋_GBK"/>
          <w:sz w:val="32"/>
          <w:szCs w:val="32"/>
        </w:rPr>
        <w:t>1442.01</w:t>
      </w:r>
      <w:r>
        <w:rPr>
          <w:rFonts w:ascii="Times New Roman" w:hAnsi="Times New Roman" w:eastAsia="方正仿宋_GBK" w:cs="方正仿宋_GBK"/>
          <w:sz w:val="32"/>
          <w:szCs w:val="32"/>
          <w:shd w:val="clear" w:color="auto" w:fill="FFFFFF"/>
        </w:rPr>
        <w:t>万元，较上年决算数增加214.46万元，增长17.47%。主要原因是</w:t>
      </w:r>
      <w:r>
        <w:rPr>
          <w:rFonts w:hint="eastAsia" w:ascii="Times New Roman" w:hAnsi="Times New Roman" w:eastAsia="方正仿宋_GBK"/>
          <w:b w:val="0"/>
          <w:sz w:val="32"/>
          <w:szCs w:val="32"/>
          <w:lang w:val="en-US" w:eastAsia="zh-CN"/>
        </w:rPr>
        <w:t>本单位2023年末在职职工人数增加2人导致人员经费增加，2023年度清算发放以前年度津补贴，支付保密场所检查装备费用，导致全年决算数增多。</w:t>
      </w:r>
      <w:r>
        <w:rPr>
          <w:rFonts w:ascii="Times New Roman" w:hAnsi="Times New Roman" w:eastAsia="方正仿宋_GBK" w:cs="方正仿宋_GBK"/>
          <w:sz w:val="32"/>
          <w:szCs w:val="32"/>
          <w:shd w:val="clear" w:color="auto" w:fill="FFFFFF"/>
        </w:rPr>
        <w:t>较年初预算数增加592.19万元，增长69.68%。主要原因是</w:t>
      </w:r>
      <w:r>
        <w:rPr>
          <w:rFonts w:hint="eastAsia" w:ascii="Times New Roman" w:hAnsi="Times New Roman" w:eastAsia="方正仿宋_GBK" w:cs="方正仿宋_GBK"/>
          <w:sz w:val="32"/>
          <w:szCs w:val="32"/>
          <w:shd w:val="clear" w:color="auto" w:fill="FFFFFF"/>
          <w:lang w:eastAsia="zh-CN"/>
        </w:rPr>
        <w:t>财政年初未预算项目支出，同时本年中途调入人员较多，导致人员经费、项目经费支出增加。</w:t>
      </w:r>
      <w:r>
        <w:rPr>
          <w:rFonts w:ascii="Times New Roman" w:hAnsi="Times New Roman" w:eastAsia="方正仿宋_GBK" w:cs="方正仿宋_GBK"/>
          <w:sz w:val="32"/>
          <w:szCs w:val="32"/>
          <w:shd w:val="clear" w:color="auto" w:fill="FFFFFF"/>
        </w:rPr>
        <w:t>此外，年初财政拨款结转和结余</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b w:val="0"/>
          <w:bCs/>
          <w:sz w:val="32"/>
          <w:szCs w:val="32"/>
          <w:shd w:val="clear" w:color="auto" w:fill="FFFFFF"/>
        </w:rPr>
        <w:t>2.支出情况。</w:t>
      </w:r>
      <w:r>
        <w:rPr>
          <w:rFonts w:ascii="Times New Roman" w:hAnsi="Times New Roman" w:eastAsia="方正仿宋_GBK" w:cs="方正仿宋_GBK"/>
          <w:sz w:val="32"/>
          <w:szCs w:val="32"/>
          <w:shd w:val="clear" w:color="auto" w:fill="FFFFFF"/>
        </w:rPr>
        <w:t>2023年度一般公共预算财政拨款支出</w:t>
      </w:r>
      <w:r>
        <w:rPr>
          <w:rFonts w:ascii="Times New Roman" w:hAnsi="Times New Roman" w:eastAsia="方正仿宋_GBK" w:cs="方正仿宋_GBK"/>
          <w:sz w:val="32"/>
          <w:szCs w:val="32"/>
        </w:rPr>
        <w:t>1442.01</w:t>
      </w:r>
      <w:r>
        <w:rPr>
          <w:rFonts w:ascii="Times New Roman" w:hAnsi="Times New Roman" w:eastAsia="方正仿宋_GBK" w:cs="方正仿宋_GBK"/>
          <w:sz w:val="32"/>
          <w:szCs w:val="32"/>
          <w:shd w:val="clear" w:color="auto" w:fill="FFFFFF"/>
        </w:rPr>
        <w:t>万元，较上年决算数增加214.46万元，增长17.47%。主要原因是</w:t>
      </w:r>
      <w:r>
        <w:rPr>
          <w:rFonts w:hint="eastAsia" w:ascii="Times New Roman" w:hAnsi="Times New Roman" w:eastAsia="方正仿宋_GBK"/>
          <w:b w:val="0"/>
          <w:sz w:val="32"/>
          <w:szCs w:val="32"/>
          <w:lang w:val="en-US" w:eastAsia="zh-CN"/>
        </w:rPr>
        <w:t>本单位2023年末在职职工人数增加2人导致人员经费增加，2023年度清算发放以前年度津补贴，支付保密场所检查装备费用，导致全年决算数增多。</w:t>
      </w:r>
      <w:r>
        <w:rPr>
          <w:rFonts w:ascii="Times New Roman" w:hAnsi="Times New Roman" w:eastAsia="方正仿宋_GBK" w:cs="方正仿宋_GBK"/>
          <w:sz w:val="32"/>
          <w:szCs w:val="32"/>
          <w:shd w:val="clear" w:color="auto" w:fill="FFFFFF"/>
        </w:rPr>
        <w:t>较年初预算数增加592.19万元，增长69.68%。主要原因是</w:t>
      </w:r>
      <w:r>
        <w:rPr>
          <w:rFonts w:hint="eastAsia" w:ascii="Times New Roman" w:hAnsi="Times New Roman" w:eastAsia="方正仿宋_GBK" w:cs="方正仿宋_GBK"/>
          <w:sz w:val="32"/>
          <w:szCs w:val="32"/>
          <w:shd w:val="clear" w:color="auto" w:fill="FFFFFF"/>
          <w:lang w:eastAsia="zh-CN"/>
        </w:rPr>
        <w:t>财政年初未预算项目支出，同时本年中途调入人员较多，导致人员经费、项目经费支出增加。</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ascii="Times New Roman" w:hAnsi="Times New Roman" w:eastAsia="方正仿宋_GBK" w:cs="方正仿宋_GBK"/>
          <w:sz w:val="32"/>
          <w:szCs w:val="32"/>
          <w:shd w:val="clear" w:color="auto" w:fill="FFFFFF"/>
        </w:rPr>
      </w:pPr>
      <w:r>
        <w:rPr>
          <w:rStyle w:val="9"/>
          <w:rFonts w:ascii="Times New Roman" w:hAnsi="Times New Roman" w:eastAsia="方正仿宋_GBK" w:cs="方正仿宋_GBK"/>
          <w:b w:val="0"/>
          <w:bCs/>
          <w:sz w:val="32"/>
          <w:szCs w:val="32"/>
          <w:shd w:val="clear" w:color="auto" w:fill="FFFFFF"/>
        </w:rPr>
        <w:t>3.结转结余情况。</w:t>
      </w:r>
      <w:r>
        <w:rPr>
          <w:rFonts w:ascii="Times New Roman" w:hAnsi="Times New Roman" w:eastAsia="方正仿宋_GBK" w:cs="方正仿宋_GBK"/>
          <w:sz w:val="32"/>
          <w:szCs w:val="32"/>
          <w:shd w:val="clear" w:color="auto" w:fill="FFFFFF"/>
        </w:rPr>
        <w:t>2023年度年末一般公共预算财政拨款结转和结余</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万元，较上年决算数无增减</w:t>
      </w:r>
      <w:r>
        <w:rPr>
          <w:rFonts w:hint="eastAsia" w:ascii="Times New Roman" w:hAnsi="Times New Roman" w:eastAsia="方正仿宋_GBK" w:cs="方正仿宋_GBK"/>
          <w:sz w:val="32"/>
          <w:szCs w:val="32"/>
          <w:shd w:val="clear" w:color="auto" w:fill="FFFFFF"/>
          <w:lang w:eastAsia="zh-CN"/>
        </w:rPr>
        <w:t>。</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color w:val="FF0000"/>
          <w:sz w:val="32"/>
          <w:szCs w:val="32"/>
          <w:highlight w:val="cyan"/>
          <w:shd w:val="clear" w:color="auto" w:fill="FFFFFF"/>
        </w:rPr>
      </w:pPr>
      <w:r>
        <w:rPr>
          <w:rStyle w:val="9"/>
          <w:rFonts w:ascii="Times New Roman" w:hAnsi="Times New Roman" w:eastAsia="方正仿宋_GBK" w:cs="方正仿宋_GBK"/>
          <w:b w:val="0"/>
          <w:bCs/>
          <w:sz w:val="32"/>
          <w:szCs w:val="32"/>
          <w:shd w:val="clear" w:color="auto" w:fill="FFFFFF"/>
        </w:rPr>
        <w:t xml:space="preserve"> 4.比较情况。</w:t>
      </w:r>
      <w:r>
        <w:rPr>
          <w:rFonts w:ascii="Times New Roman" w:hAnsi="Times New Roman" w:eastAsia="方正仿宋_GBK" w:cs="方正仿宋_GBK"/>
          <w:sz w:val="32"/>
          <w:szCs w:val="32"/>
          <w:shd w:val="clear" w:color="auto" w:fill="FFFFFF"/>
        </w:rPr>
        <w:t>本单位2023年度一般公共预算财政拨款支出主要用于以下几个方面：</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（1）一般公共服务支出</w:t>
      </w:r>
      <w:r>
        <w:rPr>
          <w:rFonts w:ascii="Times New Roman" w:hAnsi="Times New Roman" w:eastAsia="方正仿宋_GBK" w:cs="方正仿宋_GBK"/>
          <w:sz w:val="32"/>
          <w:szCs w:val="32"/>
        </w:rPr>
        <w:t>1165.99</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80.86</w:t>
      </w:r>
      <w:r>
        <w:rPr>
          <w:rFonts w:ascii="Times New Roman" w:hAnsi="Times New Roman" w:eastAsia="方正仿宋_GBK" w:cs="方正仿宋_GBK"/>
          <w:sz w:val="32"/>
          <w:szCs w:val="32"/>
          <w:shd w:val="clear" w:color="auto" w:fill="FFFFFF"/>
        </w:rPr>
        <w:t>%，较年初预算数增加571.12万元，增长96.01%，主要原因是</w:t>
      </w:r>
      <w:r>
        <w:rPr>
          <w:rFonts w:hint="eastAsia" w:ascii="Times New Roman" w:hAnsi="Times New Roman" w:eastAsia="方正仿宋_GBK" w:cs="方正仿宋_GBK"/>
          <w:sz w:val="32"/>
          <w:szCs w:val="32"/>
          <w:shd w:val="clear" w:color="auto" w:fill="FFFFFF"/>
          <w:lang w:eastAsia="zh-CN"/>
        </w:rPr>
        <w:t>财政年初未预算项目支出，同时本年中途调入人员较多，导致人员经费、项目经费支出增加。</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2</w:t>
      </w:r>
      <w:r>
        <w:rPr>
          <w:rFonts w:ascii="Times New Roman" w:hAnsi="Times New Roman" w:eastAsia="方正仿宋_GBK" w:cs="方正仿宋_GBK"/>
          <w:sz w:val="32"/>
          <w:szCs w:val="32"/>
          <w:shd w:val="clear" w:color="auto" w:fill="FFFFFF"/>
        </w:rPr>
        <w:t>）社会保障与就业支出</w:t>
      </w:r>
      <w:r>
        <w:rPr>
          <w:rFonts w:ascii="Times New Roman" w:hAnsi="Times New Roman" w:eastAsia="方正仿宋_GBK" w:cs="方正仿宋_GBK"/>
          <w:sz w:val="32"/>
          <w:szCs w:val="32"/>
        </w:rPr>
        <w:t>178.31</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12.37</w:t>
      </w:r>
      <w:r>
        <w:rPr>
          <w:rFonts w:ascii="Times New Roman" w:hAnsi="Times New Roman" w:eastAsia="方正仿宋_GBK" w:cs="方正仿宋_GBK"/>
          <w:sz w:val="32"/>
          <w:szCs w:val="32"/>
          <w:shd w:val="clear" w:color="auto" w:fill="FFFFFF"/>
        </w:rPr>
        <w:t>%，较年初预算数增加17.34万元，增长10.77%，主要原因是</w:t>
      </w:r>
      <w:r>
        <w:rPr>
          <w:rFonts w:hint="eastAsia" w:ascii="Times New Roman" w:hAnsi="Times New Roman" w:eastAsia="方正仿宋_GBK"/>
          <w:b w:val="0"/>
          <w:sz w:val="32"/>
          <w:szCs w:val="32"/>
          <w:lang w:val="en-US" w:eastAsia="zh-CN"/>
        </w:rPr>
        <w:t>本单位2023年度有2名在职职工退休、1名退休职工死亡，发放一次性退休补助和死亡抚恤金额较大，导致</w:t>
      </w:r>
      <w:r>
        <w:rPr>
          <w:rFonts w:ascii="Times New Roman" w:hAnsi="Times New Roman" w:eastAsia="方正仿宋_GBK" w:cs="方正仿宋_GBK"/>
          <w:sz w:val="32"/>
          <w:szCs w:val="32"/>
          <w:shd w:val="clear" w:color="auto" w:fill="FFFFFF"/>
        </w:rPr>
        <w:t>社会保障与就业支出</w:t>
      </w:r>
      <w:r>
        <w:rPr>
          <w:rFonts w:hint="eastAsia" w:ascii="Times New Roman" w:hAnsi="Times New Roman" w:eastAsia="方正仿宋_GBK" w:cs="方正仿宋_GBK"/>
          <w:sz w:val="32"/>
          <w:szCs w:val="32"/>
          <w:shd w:val="clear" w:color="auto" w:fill="FFFFFF"/>
          <w:lang w:eastAsia="zh-CN"/>
        </w:rPr>
        <w:t>增加</w:t>
      </w:r>
      <w:r>
        <w:rPr>
          <w:rFonts w:hint="eastAsia" w:ascii="Times New Roman" w:hAnsi="Times New Roman" w:eastAsia="方正仿宋_GBK"/>
          <w:b w:val="0"/>
          <w:sz w:val="32"/>
          <w:szCs w:val="32"/>
          <w:lang w:val="en-US" w:eastAsia="zh-CN"/>
        </w:rPr>
        <w:t>。</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3</w:t>
      </w:r>
      <w:r>
        <w:rPr>
          <w:rFonts w:ascii="Times New Roman" w:hAnsi="Times New Roman" w:eastAsia="方正仿宋_GBK" w:cs="方正仿宋_GBK"/>
          <w:sz w:val="32"/>
          <w:szCs w:val="32"/>
          <w:shd w:val="clear" w:color="auto" w:fill="FFFFFF"/>
        </w:rPr>
        <w:t>）卫生健康支出</w:t>
      </w:r>
      <w:r>
        <w:rPr>
          <w:rFonts w:ascii="Times New Roman" w:hAnsi="Times New Roman" w:eastAsia="方正仿宋_GBK" w:cs="方正仿宋_GBK"/>
          <w:sz w:val="32"/>
          <w:szCs w:val="32"/>
        </w:rPr>
        <w:t>38.85</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2.69</w:t>
      </w:r>
      <w:r>
        <w:rPr>
          <w:rFonts w:ascii="Times New Roman" w:hAnsi="Times New Roman" w:eastAsia="方正仿宋_GBK" w:cs="方正仿宋_GBK"/>
          <w:sz w:val="32"/>
          <w:szCs w:val="32"/>
          <w:shd w:val="clear" w:color="auto" w:fill="FFFFFF"/>
        </w:rPr>
        <w:t>%，较年初预算数增加2.01万元，增长5.46%，主要原因是</w:t>
      </w:r>
      <w:r>
        <w:rPr>
          <w:rFonts w:hint="eastAsia" w:ascii="Times New Roman" w:hAnsi="Times New Roman" w:eastAsia="方正仿宋_GBK" w:cs="方正仿宋_GBK"/>
          <w:sz w:val="32"/>
          <w:szCs w:val="32"/>
          <w:shd w:val="clear" w:color="auto" w:fill="FFFFFF"/>
          <w:lang w:eastAsia="zh-CN"/>
        </w:rPr>
        <w:t>本单位</w:t>
      </w:r>
      <w:r>
        <w:rPr>
          <w:rFonts w:hint="eastAsia" w:ascii="Times New Roman" w:hAnsi="Times New Roman" w:eastAsia="方正仿宋_GBK" w:cs="方正仿宋_GBK"/>
          <w:sz w:val="32"/>
          <w:szCs w:val="32"/>
          <w:shd w:val="clear" w:color="auto" w:fill="FFFFFF"/>
          <w:lang w:val="en-US" w:eastAsia="zh-CN"/>
        </w:rPr>
        <w:t>2023年度职工增加较多，导致</w:t>
      </w:r>
      <w:r>
        <w:rPr>
          <w:rFonts w:ascii="Times New Roman" w:hAnsi="Times New Roman" w:eastAsia="方正仿宋_GBK" w:cs="方正仿宋_GBK"/>
          <w:sz w:val="32"/>
          <w:szCs w:val="32"/>
          <w:shd w:val="clear" w:color="auto" w:fill="FFFFFF"/>
        </w:rPr>
        <w:t>卫生健康支出</w:t>
      </w:r>
      <w:r>
        <w:rPr>
          <w:rFonts w:hint="eastAsia" w:ascii="Times New Roman" w:hAnsi="Times New Roman" w:eastAsia="方正仿宋_GBK" w:cs="方正仿宋_GBK"/>
          <w:sz w:val="32"/>
          <w:szCs w:val="32"/>
          <w:shd w:val="clear" w:color="auto" w:fill="FFFFFF"/>
          <w:lang w:eastAsia="zh-CN"/>
        </w:rPr>
        <w:t>增加。</w:t>
      </w:r>
    </w:p>
    <w:p>
      <w:pPr>
        <w:keepNext w:val="0"/>
        <w:keepLines w:val="0"/>
        <w:pageBreakBefore w:val="0"/>
        <w:widowControl/>
        <w:kinsoku/>
        <w:wordWrap/>
        <w:overflowPunct/>
        <w:topLinePunct w:val="0"/>
        <w:autoSpaceDN/>
        <w:bidi w:val="0"/>
        <w:adjustRightInd/>
        <w:spacing w:beforeAutospacing="0" w:afterAutospacing="0" w:line="594" w:lineRule="exact"/>
        <w:ind w:left="0" w:leftChars="0" w:right="0" w:rightChars="0" w:firstLine="720" w:firstLineChars="200"/>
        <w:outlineLvl w:val="9"/>
        <w:rPr>
          <w:rFonts w:hint="default" w:ascii="Times New Roman" w:hAnsi="Times New Roman" w:eastAsia="方正仿宋_GBK" w:cs="方正仿宋_GBK"/>
          <w:color w:val="FF0000"/>
          <w:sz w:val="32"/>
          <w:szCs w:val="32"/>
          <w:shd w:val="clear" w:color="auto" w:fill="FFFFFF"/>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4</w:t>
      </w:r>
      <w:r>
        <w:rPr>
          <w:rFonts w:ascii="Times New Roman" w:hAnsi="Times New Roman" w:eastAsia="方正仿宋_GBK" w:cs="方正仿宋_GBK"/>
          <w:sz w:val="32"/>
          <w:szCs w:val="32"/>
          <w:shd w:val="clear" w:color="auto" w:fill="FFFFFF"/>
        </w:rPr>
        <w:t>）</w:t>
      </w:r>
      <w:r>
        <w:rPr>
          <w:rFonts w:ascii="Times New Roman" w:hAnsi="Times New Roman" w:eastAsia="方正仿宋_GBK" w:cs="方正仿宋_GBK"/>
          <w:sz w:val="32"/>
          <w:szCs w:val="32"/>
        </w:rPr>
        <w:t>住房保障支出58.86</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4.08</w:t>
      </w:r>
      <w:r>
        <w:rPr>
          <w:rFonts w:ascii="Times New Roman" w:hAnsi="Times New Roman" w:eastAsia="方正仿宋_GBK" w:cs="方正仿宋_GBK"/>
          <w:sz w:val="32"/>
          <w:szCs w:val="32"/>
          <w:shd w:val="clear" w:color="auto" w:fill="FFFFFF"/>
        </w:rPr>
        <w:t>%，较年初预算数增加3.91万元，增长7.12%，主要原因是</w:t>
      </w:r>
      <w:r>
        <w:rPr>
          <w:rFonts w:hint="eastAsia" w:ascii="Times New Roman" w:hAnsi="Times New Roman" w:eastAsia="方正仿宋_GBK" w:cs="方正仿宋_GBK"/>
          <w:sz w:val="32"/>
          <w:szCs w:val="32"/>
          <w:shd w:val="clear" w:color="auto" w:fill="FFFFFF"/>
          <w:lang w:eastAsia="zh-CN"/>
        </w:rPr>
        <w:t>本单位</w:t>
      </w:r>
      <w:r>
        <w:rPr>
          <w:rFonts w:hint="eastAsia" w:ascii="Times New Roman" w:hAnsi="Times New Roman" w:eastAsia="方正仿宋_GBK" w:cs="方正仿宋_GBK"/>
          <w:sz w:val="32"/>
          <w:szCs w:val="32"/>
          <w:shd w:val="clear" w:color="auto" w:fill="FFFFFF"/>
          <w:lang w:val="en-US" w:eastAsia="zh-CN"/>
        </w:rPr>
        <w:t>2023年度职工增加较多，导致</w:t>
      </w:r>
      <w:r>
        <w:rPr>
          <w:rFonts w:ascii="Times New Roman" w:hAnsi="Times New Roman" w:eastAsia="方正仿宋_GBK" w:cs="方正仿宋_GBK"/>
          <w:sz w:val="32"/>
          <w:szCs w:val="32"/>
        </w:rPr>
        <w:t>住房保障支出</w:t>
      </w:r>
      <w:r>
        <w:rPr>
          <w:rFonts w:hint="eastAsia" w:ascii="Times New Roman" w:hAnsi="Times New Roman" w:eastAsia="方正仿宋_GBK" w:cs="方正仿宋_GBK"/>
          <w:sz w:val="32"/>
          <w:szCs w:val="32"/>
          <w:shd w:val="clear" w:color="auto" w:fill="FFFFFF"/>
          <w:lang w:eastAsia="zh-CN"/>
        </w:rPr>
        <w:t>增加。</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（四）一般公共预算财政拨款基本支出决算情况说明</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 2023年度一般公共财政拨款基本支出</w:t>
      </w:r>
      <w:r>
        <w:rPr>
          <w:rFonts w:ascii="Times New Roman" w:hAnsi="Times New Roman" w:eastAsia="方正仿宋_GBK" w:cs="方正仿宋_GBK"/>
          <w:sz w:val="32"/>
          <w:szCs w:val="32"/>
        </w:rPr>
        <w:t>979.79</w:t>
      </w:r>
      <w:r>
        <w:rPr>
          <w:rFonts w:ascii="Times New Roman" w:hAnsi="Times New Roman" w:eastAsia="方正仿宋_GBK" w:cs="方正仿宋_GBK"/>
          <w:sz w:val="32"/>
          <w:szCs w:val="32"/>
          <w:shd w:val="clear" w:color="auto" w:fill="FFFFFF"/>
        </w:rPr>
        <w:t>万元。其中：人员经费</w:t>
      </w:r>
      <w:r>
        <w:rPr>
          <w:rFonts w:ascii="Times New Roman" w:hAnsi="Times New Roman" w:eastAsia="方正仿宋_GBK" w:cs="方正仿宋_GBK"/>
          <w:sz w:val="32"/>
          <w:szCs w:val="32"/>
        </w:rPr>
        <w:t>847.75</w:t>
      </w:r>
      <w:r>
        <w:rPr>
          <w:rFonts w:ascii="Times New Roman" w:hAnsi="Times New Roman" w:eastAsia="方正仿宋_GBK" w:cs="方正仿宋_GBK"/>
          <w:sz w:val="32"/>
          <w:szCs w:val="32"/>
          <w:shd w:val="clear" w:color="auto" w:fill="FFFFFF"/>
        </w:rPr>
        <w:t>万元，较上年决算数增加154.94万元，增长22.36%，主要原因是</w:t>
      </w:r>
      <w:r>
        <w:rPr>
          <w:rFonts w:hint="eastAsia" w:ascii="Times New Roman" w:hAnsi="Times New Roman" w:eastAsia="方正仿宋_GBK"/>
          <w:b w:val="0"/>
          <w:sz w:val="32"/>
          <w:szCs w:val="32"/>
          <w:lang w:val="en-US" w:eastAsia="zh-CN"/>
        </w:rPr>
        <w:t>本单位2023年末在职职工人数增加2人导致人员经费增加，2023年度清算发放以前年度津补贴，导致人员经费增加。</w:t>
      </w:r>
      <w:r>
        <w:rPr>
          <w:rFonts w:ascii="Times New Roman" w:hAnsi="Times New Roman" w:eastAsia="方正仿宋_GBK" w:cs="方正仿宋_GBK"/>
          <w:sz w:val="32"/>
          <w:szCs w:val="32"/>
          <w:shd w:val="clear" w:color="auto" w:fill="FFFFFF"/>
        </w:rPr>
        <w:t>人员经费用途主要包括</w:t>
      </w:r>
      <w:r>
        <w:rPr>
          <w:rFonts w:hint="eastAsia" w:ascii="方正仿宋_GBK" w:hAnsi="方正仿宋_GBK" w:eastAsia="方正仿宋_GBK" w:cs="方正仿宋_GBK"/>
          <w:b w:val="0"/>
          <w:kern w:val="0"/>
          <w:sz w:val="32"/>
          <w:szCs w:val="32"/>
          <w:shd w:val="clear" w:fill="FFFFFF"/>
        </w:rPr>
        <w:t>基本工资、津贴补贴、奖金、其他工资福利支出、社会保障支</w:t>
      </w:r>
      <w:r>
        <w:rPr>
          <w:rFonts w:hint="eastAsia" w:ascii="Times New Roman" w:hAnsi="Times New Roman" w:eastAsia="方正仿宋_GBK" w:cs="方正仿宋_GBK"/>
          <w:sz w:val="32"/>
          <w:szCs w:val="32"/>
          <w:shd w:val="clear" w:color="auto" w:fill="FFFFFF"/>
        </w:rPr>
        <w:t>出、</w:t>
      </w:r>
      <w:r>
        <w:rPr>
          <w:rFonts w:hint="eastAsia" w:ascii="Times New Roman" w:hAnsi="Times New Roman" w:eastAsia="方正仿宋_GBK" w:cs="方正仿宋_GBK"/>
          <w:sz w:val="32"/>
          <w:szCs w:val="32"/>
          <w:shd w:val="clear" w:color="auto" w:fill="FFFFFF"/>
          <w:lang w:eastAsia="zh-CN"/>
        </w:rPr>
        <w:t>卫生健康支出、</w:t>
      </w:r>
      <w:r>
        <w:rPr>
          <w:rFonts w:hint="eastAsia" w:ascii="Times New Roman" w:hAnsi="Times New Roman" w:eastAsia="方正仿宋_GBK" w:cs="方正仿宋_GBK"/>
          <w:sz w:val="32"/>
          <w:szCs w:val="32"/>
          <w:shd w:val="clear" w:color="auto" w:fill="FFFFFF"/>
        </w:rPr>
        <w:t>住房保</w:t>
      </w:r>
      <w:r>
        <w:rPr>
          <w:rFonts w:hint="eastAsia" w:ascii="方正仿宋_GBK" w:hAnsi="方正仿宋_GBK" w:eastAsia="方正仿宋_GBK" w:cs="方正仿宋_GBK"/>
          <w:b w:val="0"/>
          <w:kern w:val="0"/>
          <w:sz w:val="32"/>
          <w:szCs w:val="32"/>
          <w:shd w:val="clear" w:fill="FFFFFF"/>
        </w:rPr>
        <w:t>障支出等</w:t>
      </w:r>
      <w:r>
        <w:rPr>
          <w:rFonts w:hint="eastAsia" w:ascii="方正仿宋_GBK" w:hAnsi="方正仿宋_GBK" w:eastAsia="方正仿宋_GBK" w:cs="方正仿宋_GBK"/>
          <w:b w:val="0"/>
          <w:kern w:val="0"/>
          <w:sz w:val="32"/>
          <w:szCs w:val="32"/>
          <w:shd w:val="clear" w:fill="FFFFFF"/>
          <w:lang w:eastAsia="zh-CN"/>
        </w:rPr>
        <w:t>。</w:t>
      </w:r>
      <w:r>
        <w:rPr>
          <w:rFonts w:ascii="Times New Roman" w:hAnsi="Times New Roman" w:eastAsia="方正仿宋_GBK" w:cs="方正仿宋_GBK"/>
          <w:sz w:val="32"/>
          <w:szCs w:val="32"/>
          <w:shd w:val="clear" w:color="auto" w:fill="FFFFFF"/>
        </w:rPr>
        <w:t>公用经费</w:t>
      </w:r>
      <w:r>
        <w:rPr>
          <w:rFonts w:ascii="Times New Roman" w:hAnsi="Times New Roman" w:eastAsia="方正仿宋_GBK" w:cs="方正仿宋_GBK"/>
          <w:sz w:val="32"/>
          <w:szCs w:val="32"/>
        </w:rPr>
        <w:t>132.04</w:t>
      </w:r>
      <w:r>
        <w:rPr>
          <w:rFonts w:ascii="Times New Roman" w:hAnsi="Times New Roman" w:eastAsia="方正仿宋_GBK" w:cs="方正仿宋_GBK"/>
          <w:sz w:val="32"/>
          <w:szCs w:val="32"/>
          <w:shd w:val="clear" w:color="auto" w:fill="FFFFFF"/>
        </w:rPr>
        <w:t>万元，较上年决算数减少8.37万元，下降5.96%，主要原因是</w:t>
      </w:r>
      <w:r>
        <w:rPr>
          <w:rFonts w:hint="eastAsia" w:ascii="Times New Roman" w:hAnsi="Times New Roman" w:eastAsia="方正仿宋_GBK" w:cs="方正仿宋_GBK"/>
          <w:sz w:val="32"/>
          <w:szCs w:val="32"/>
          <w:shd w:val="clear" w:color="auto" w:fill="FFFFFF"/>
          <w:lang w:val="en-US" w:eastAsia="zh-CN"/>
        </w:rPr>
        <w:t>2023年度财政取消差旅费等重点工作经费保障，同时我单位厉行节俭，压减办公费、差旅费等支出。</w:t>
      </w:r>
      <w:r>
        <w:rPr>
          <w:rFonts w:ascii="Times New Roman" w:hAnsi="Times New Roman" w:eastAsia="方正仿宋_GBK" w:cs="方正仿宋_GBK"/>
          <w:sz w:val="32"/>
          <w:szCs w:val="32"/>
          <w:shd w:val="clear" w:color="auto" w:fill="FFFFFF"/>
        </w:rPr>
        <w:t>公用经费用途主要包括</w:t>
      </w:r>
      <w:r>
        <w:rPr>
          <w:rFonts w:hint="eastAsia" w:ascii="方正仿宋_GBK" w:hAnsi="方正仿宋_GBK" w:eastAsia="方正仿宋_GBK" w:cs="方正仿宋_GBK"/>
          <w:b w:val="0"/>
          <w:kern w:val="0"/>
          <w:sz w:val="32"/>
          <w:szCs w:val="32"/>
          <w:shd w:val="clear" w:fill="FFFFFF"/>
        </w:rPr>
        <w:t>办公费、印刷费、邮电费、差旅费、维修费、其他交通费用、其他商品和服务支出等</w:t>
      </w:r>
      <w:r>
        <w:rPr>
          <w:rFonts w:hint="eastAsia" w:ascii="方正仿宋_GBK" w:hAnsi="方正仿宋_GBK" w:eastAsia="方正仿宋_GBK" w:cs="方正仿宋_GBK"/>
          <w:b w:val="0"/>
          <w:kern w:val="0"/>
          <w:sz w:val="32"/>
          <w:szCs w:val="32"/>
          <w:shd w:val="clear" w:fill="FFFFFF"/>
          <w:lang w:eastAsia="zh-CN"/>
        </w:rPr>
        <w:t>。</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（五）政府性基金预算收支决算情况说明</w:t>
      </w:r>
    </w:p>
    <w:p>
      <w:pPr>
        <w:pStyle w:val="18"/>
        <w:rPr>
          <w:rFonts w:hint="default" w:ascii="Times New Roman" w:hAnsi="Times New Roman" w:eastAsia="方正仿宋_GBK" w:cs="方正仿宋_GBK"/>
          <w:sz w:val="32"/>
          <w:szCs w:val="32"/>
        </w:rPr>
      </w:pPr>
      <w:r>
        <w:t>本</w:t>
      </w:r>
      <w:r>
        <w:rPr>
          <w:rFonts w:hint="eastAsia"/>
          <w:lang w:eastAsia="zh-CN"/>
        </w:rPr>
        <w:t>单位</w:t>
      </w:r>
      <w:r>
        <w:t>202</w:t>
      </w:r>
      <w:r>
        <w:rPr>
          <w:rFonts w:hint="eastAsia"/>
          <w:lang w:val="en-US" w:eastAsia="zh-CN"/>
        </w:rPr>
        <w:t>3</w:t>
      </w:r>
      <w:r>
        <w:t>年度无政府性基金预算财政拨款收支。</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（六）国有资本经营预算财政拨款支出决算情况说明</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 本单位2023年度无国有资本经营预算财政拨款支出。</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Fonts w:hint="default" w:ascii="Times New Roman" w:hAnsi="Times New Roman" w:eastAsia="方正仿宋_GBK" w:cs="方正仿宋_GBK"/>
          <w:sz w:val="32"/>
          <w:szCs w:val="32"/>
        </w:rPr>
      </w:pPr>
      <w:r>
        <w:rPr>
          <w:rStyle w:val="9"/>
          <w:rFonts w:hint="eastAsia" w:ascii="方正黑体_GBK" w:hAnsi="方正黑体_GBK" w:eastAsia="方正黑体_GBK" w:cs="方正黑体_GBK"/>
          <w:b w:val="0"/>
          <w:bCs/>
          <w:sz w:val="32"/>
          <w:szCs w:val="32"/>
          <w:shd w:val="clear" w:color="auto" w:fill="FFFFFF"/>
        </w:rPr>
        <w:t>三、“三公”经费情况说明</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（一）“三公”经费支出总体情况说明</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2023年度“三公”经费支出共计</w:t>
      </w:r>
      <w:r>
        <w:rPr>
          <w:rFonts w:ascii="Times New Roman" w:hAnsi="Times New Roman" w:eastAsia="方正仿宋_GBK" w:cs="方正仿宋_GBK"/>
          <w:sz w:val="32"/>
          <w:szCs w:val="32"/>
        </w:rPr>
        <w:t>22.75</w:t>
      </w:r>
      <w:r>
        <w:rPr>
          <w:rFonts w:ascii="Times New Roman" w:hAnsi="Times New Roman" w:eastAsia="方正仿宋_GBK" w:cs="方正仿宋_GBK"/>
          <w:sz w:val="32"/>
          <w:szCs w:val="32"/>
          <w:shd w:val="clear" w:color="auto" w:fill="FFFFFF"/>
        </w:rPr>
        <w:t>万元，较年初预算数减少1.75万元，下降7.14%，主要原因是</w:t>
      </w:r>
      <w:r>
        <w:rPr>
          <w:rFonts w:hint="eastAsia" w:ascii="Times New Roman" w:hAnsi="Times New Roman" w:eastAsia="方正仿宋_GBK"/>
          <w:b w:val="0"/>
          <w:sz w:val="32"/>
          <w:szCs w:val="32"/>
          <w:lang w:val="en-US" w:eastAsia="zh-CN"/>
        </w:rPr>
        <w:t>2023年度上级赴忠检查工作次数、友好区县来忠调研次数均减少，</w:t>
      </w:r>
      <w:r>
        <w:rPr>
          <w:rFonts w:hint="default" w:ascii="Times New Roman" w:hAnsi="Times New Roman" w:eastAsia="方正仿宋_GBK" w:cs="Times New Roman"/>
          <w:b w:val="0"/>
          <w:bCs w:val="0"/>
          <w:sz w:val="32"/>
          <w:szCs w:val="32"/>
          <w:shd w:val="clear" w:color="auto" w:fill="FFFFFF"/>
        </w:rPr>
        <w:t>“三公”经费支出</w:t>
      </w:r>
      <w:r>
        <w:rPr>
          <w:rFonts w:hint="eastAsia" w:ascii="Times New Roman" w:hAnsi="Times New Roman" w:eastAsia="方正仿宋_GBK"/>
          <w:b w:val="0"/>
          <w:sz w:val="32"/>
          <w:szCs w:val="32"/>
          <w:lang w:val="en-US" w:eastAsia="zh-CN"/>
        </w:rPr>
        <w:t>大幅度降低。</w:t>
      </w:r>
      <w:r>
        <w:rPr>
          <w:rFonts w:ascii="Times New Roman" w:hAnsi="Times New Roman" w:eastAsia="方正仿宋_GBK" w:cs="方正仿宋_GBK"/>
          <w:sz w:val="32"/>
          <w:szCs w:val="32"/>
          <w:shd w:val="clear" w:color="auto" w:fill="FFFFFF"/>
        </w:rPr>
        <w:t>较上年支出数减少4.51万元，下降16.54%，主要原因是</w:t>
      </w:r>
      <w:r>
        <w:rPr>
          <w:rFonts w:hint="eastAsia" w:ascii="Times New Roman" w:hAnsi="Times New Roman" w:eastAsia="方正仿宋_GBK" w:cs="方正仿宋_GBK"/>
          <w:sz w:val="32"/>
          <w:szCs w:val="32"/>
          <w:shd w:val="clear" w:color="auto" w:fill="FFFFFF"/>
          <w:lang w:val="en-US" w:eastAsia="zh-CN"/>
        </w:rPr>
        <w:t>2023</w:t>
      </w:r>
      <w:r>
        <w:rPr>
          <w:rFonts w:hint="eastAsia" w:ascii="Times New Roman" w:hAnsi="Times New Roman" w:eastAsia="方正仿宋_GBK" w:cs="方正仿宋_GBK"/>
          <w:sz w:val="32"/>
          <w:szCs w:val="32"/>
          <w:shd w:val="clear" w:color="auto" w:fill="FFFFFF"/>
          <w:lang w:eastAsia="zh-CN"/>
        </w:rPr>
        <w:t>年度</w:t>
      </w:r>
      <w:r>
        <w:rPr>
          <w:rFonts w:hint="eastAsia" w:ascii="Times New Roman" w:hAnsi="Times New Roman" w:eastAsia="方正仿宋_GBK" w:cs="方正仿宋_GBK"/>
          <w:sz w:val="32"/>
          <w:szCs w:val="32"/>
          <w:shd w:val="clear" w:color="auto" w:fill="FFFFFF"/>
          <w:lang w:val="en-US" w:eastAsia="zh-CN"/>
        </w:rPr>
        <w:t>上级部门检查及友好区县来忠调研工作减少，同时</w:t>
      </w:r>
      <w:r>
        <w:rPr>
          <w:rFonts w:hint="eastAsia" w:ascii="Times New Roman" w:hAnsi="Times New Roman" w:eastAsia="方正仿宋_GBK" w:cs="方正仿宋_GBK"/>
          <w:sz w:val="32"/>
          <w:szCs w:val="32"/>
          <w:shd w:val="clear" w:color="auto" w:fill="FFFFFF"/>
        </w:rPr>
        <w:t>认真贯彻落实中央八项规定精神，从严控制减少“三公”经费</w:t>
      </w:r>
      <w:r>
        <w:rPr>
          <w:rFonts w:hint="eastAsia" w:ascii="Times New Roman" w:hAnsi="Times New Roman" w:eastAsia="方正仿宋_GBK" w:cs="方正仿宋_GBK"/>
          <w:sz w:val="32"/>
          <w:szCs w:val="32"/>
          <w:shd w:val="clear" w:color="auto" w:fill="FFFFFF"/>
          <w:lang w:eastAsia="zh-CN"/>
        </w:rPr>
        <w:t>。</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right="0" w:rightChars="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（二）“三公”经费分项支出情况</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2023年度本单位因公出国（境）费用</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w:t>
      </w:r>
      <w:r>
        <w:rPr>
          <w:rFonts w:hint="eastAsia" w:ascii="Times New Roman" w:hAnsi="Times New Roman" w:eastAsia="方正仿宋_GBK" w:cs="方正仿宋_GBK"/>
          <w:sz w:val="32"/>
          <w:szCs w:val="32"/>
          <w:shd w:val="clear" w:color="auto" w:fill="FFFFFF"/>
          <w:lang w:eastAsia="zh-CN"/>
        </w:rPr>
        <w:t>，</w:t>
      </w:r>
      <w:r>
        <w:rPr>
          <w:rFonts w:ascii="Times New Roman" w:hAnsi="Times New Roman" w:eastAsia="方正仿宋_GBK" w:cs="方正仿宋_GBK"/>
          <w:sz w:val="32"/>
          <w:szCs w:val="32"/>
          <w:shd w:val="clear" w:color="auto" w:fill="FFFFFF"/>
        </w:rPr>
        <w:t>费用支出较年初预算数无增减，较上年支出数无增减</w:t>
      </w:r>
      <w:r>
        <w:rPr>
          <w:rFonts w:hint="eastAsia" w:ascii="Times New Roman" w:hAnsi="Times New Roman" w:eastAsia="方正仿宋_GBK" w:cs="方正仿宋_GBK"/>
          <w:sz w:val="32"/>
          <w:szCs w:val="32"/>
          <w:shd w:val="clear" w:color="auto" w:fill="FFFFFF"/>
          <w:lang w:eastAsia="zh-CN"/>
        </w:rPr>
        <w:t>。</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 公务</w:t>
      </w:r>
      <w:r>
        <w:rPr>
          <w:rFonts w:hint="eastAsia" w:ascii="Times New Roman" w:hAnsi="Times New Roman" w:eastAsia="方正仿宋_GBK" w:cs="方正仿宋_GBK"/>
          <w:sz w:val="32"/>
          <w:szCs w:val="32"/>
          <w:shd w:val="clear" w:color="auto" w:fill="FFFFFF"/>
          <w:lang w:eastAsia="zh-CN"/>
        </w:rPr>
        <w:t>用</w:t>
      </w:r>
      <w:r>
        <w:rPr>
          <w:rFonts w:ascii="Times New Roman" w:hAnsi="Times New Roman" w:eastAsia="方正仿宋_GBK" w:cs="方正仿宋_GBK"/>
          <w:sz w:val="32"/>
          <w:szCs w:val="32"/>
          <w:shd w:val="clear" w:color="auto" w:fill="FFFFFF"/>
        </w:rPr>
        <w:t>车购置费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万元，费用支出较年初预算数无增减，较上年支出数无增减</w:t>
      </w:r>
      <w:r>
        <w:rPr>
          <w:rFonts w:hint="eastAsia" w:ascii="Times New Roman" w:hAnsi="Times New Roman" w:eastAsia="方正仿宋_GBK" w:cs="方正仿宋_GBK"/>
          <w:sz w:val="32"/>
          <w:szCs w:val="32"/>
          <w:shd w:val="clear" w:color="auto" w:fill="FFFFFF"/>
          <w:lang w:eastAsia="zh-CN"/>
        </w:rPr>
        <w:t>。</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eastAsia" w:ascii="方正仿宋_GBK" w:hAnsi="方正仿宋_GBK" w:eastAsia="方正仿宋_GBK" w:cs="方正仿宋_GBK"/>
          <w:b w:val="0"/>
          <w:color w:val="000000"/>
          <w:kern w:val="0"/>
          <w:sz w:val="32"/>
          <w:szCs w:val="32"/>
          <w:shd w:val="clear" w:fill="FFFFFF"/>
          <w:lang w:eastAsia="zh-CN"/>
        </w:rPr>
      </w:pPr>
      <w:r>
        <w:rPr>
          <w:rFonts w:ascii="Times New Roman" w:hAnsi="Times New Roman" w:eastAsia="方正仿宋_GBK" w:cs="方正仿宋_GBK"/>
          <w:sz w:val="32"/>
          <w:szCs w:val="32"/>
          <w:shd w:val="clear" w:color="auto" w:fill="FFFFFF"/>
        </w:rPr>
        <w:t> 公务</w:t>
      </w:r>
      <w:r>
        <w:rPr>
          <w:rFonts w:hint="eastAsia" w:ascii="Times New Roman" w:hAnsi="Times New Roman" w:eastAsia="方正仿宋_GBK" w:cs="方正仿宋_GBK"/>
          <w:sz w:val="32"/>
          <w:szCs w:val="32"/>
          <w:shd w:val="clear" w:color="auto" w:fill="FFFFFF"/>
          <w:lang w:eastAsia="zh-CN"/>
        </w:rPr>
        <w:t>用</w:t>
      </w:r>
      <w:r>
        <w:rPr>
          <w:rFonts w:ascii="Times New Roman" w:hAnsi="Times New Roman" w:eastAsia="方正仿宋_GBK" w:cs="方正仿宋_GBK"/>
          <w:sz w:val="32"/>
          <w:szCs w:val="32"/>
          <w:shd w:val="clear" w:color="auto" w:fill="FFFFFF"/>
        </w:rPr>
        <w:t>车运行维护费</w:t>
      </w:r>
      <w:r>
        <w:rPr>
          <w:rFonts w:ascii="Times New Roman" w:hAnsi="Times New Roman" w:eastAsia="方正仿宋_GBK" w:cs="方正仿宋_GBK"/>
          <w:sz w:val="32"/>
          <w:szCs w:val="32"/>
        </w:rPr>
        <w:t>17.91</w:t>
      </w:r>
      <w:r>
        <w:rPr>
          <w:rFonts w:ascii="Times New Roman" w:hAnsi="Times New Roman" w:eastAsia="方正仿宋_GBK" w:cs="方正仿宋_GBK"/>
          <w:sz w:val="32"/>
          <w:szCs w:val="32"/>
          <w:shd w:val="clear" w:color="auto" w:fill="FFFFFF"/>
        </w:rPr>
        <w:t>万元，主要用于</w:t>
      </w:r>
      <w:r>
        <w:rPr>
          <w:rFonts w:hint="eastAsia" w:ascii="方正仿宋_GBK" w:hAnsi="方正仿宋_GBK" w:eastAsia="方正仿宋_GBK" w:cs="方正仿宋_GBK"/>
          <w:b w:val="0"/>
          <w:kern w:val="0"/>
          <w:sz w:val="32"/>
          <w:szCs w:val="32"/>
          <w:shd w:val="clear" w:fill="FFFFFF"/>
        </w:rPr>
        <w:t>机要文件交换、市内因公出行、业务检查等工作所需车辆的燃料费、维修费、过桥过路费、保险费等</w:t>
      </w:r>
      <w:r>
        <w:rPr>
          <w:rFonts w:hint="eastAsia" w:ascii="方正仿宋_GBK" w:hAnsi="方正仿宋_GBK" w:eastAsia="方正仿宋_GBK" w:cs="方正仿宋_GBK"/>
          <w:b w:val="0"/>
          <w:kern w:val="0"/>
          <w:sz w:val="32"/>
          <w:szCs w:val="32"/>
          <w:shd w:val="clear" w:fill="FFFFFF"/>
          <w:lang w:eastAsia="zh-CN"/>
        </w:rPr>
        <w:t>。</w:t>
      </w:r>
      <w:r>
        <w:rPr>
          <w:rFonts w:ascii="Times New Roman" w:hAnsi="Times New Roman" w:eastAsia="方正仿宋_GBK" w:cs="方正仿宋_GBK"/>
          <w:sz w:val="32"/>
          <w:szCs w:val="32"/>
          <w:shd w:val="clear" w:color="auto" w:fill="FFFFFF"/>
        </w:rPr>
        <w:t>费用支出较年初预算数减少1.09万元，下降5.74%，主要原因是</w:t>
      </w:r>
      <w:r>
        <w:rPr>
          <w:rFonts w:hint="eastAsia" w:ascii="方正仿宋_GBK" w:hAnsi="方正仿宋_GBK" w:eastAsia="方正仿宋_GBK" w:cs="方正仿宋_GBK"/>
          <w:b w:val="0"/>
          <w:kern w:val="0"/>
          <w:sz w:val="32"/>
          <w:szCs w:val="32"/>
          <w:shd w:val="clear" w:fill="FFFFFF"/>
        </w:rPr>
        <w:t>我单位</w:t>
      </w:r>
      <w:r>
        <w:rPr>
          <w:rFonts w:hint="eastAsia" w:ascii="方正仿宋_GBK" w:hAnsi="方正仿宋_GBK" w:eastAsia="方正仿宋_GBK" w:cs="方正仿宋_GBK"/>
          <w:b w:val="0"/>
          <w:color w:val="000000"/>
          <w:kern w:val="0"/>
          <w:sz w:val="32"/>
          <w:szCs w:val="32"/>
          <w:shd w:val="clear" w:fill="FFFFFF"/>
        </w:rPr>
        <w:t>认真贯彻落实中央八项规定精神，从严控制减少公务车运行维护费</w:t>
      </w:r>
      <w:r>
        <w:rPr>
          <w:rFonts w:hint="eastAsia" w:ascii="方正仿宋_GBK" w:hAnsi="方正仿宋_GBK" w:eastAsia="方正仿宋_GBK" w:cs="方正仿宋_GBK"/>
          <w:b w:val="0"/>
          <w:color w:val="000000"/>
          <w:kern w:val="0"/>
          <w:sz w:val="32"/>
          <w:szCs w:val="32"/>
          <w:shd w:val="clear" w:fill="FFFFFF"/>
          <w:lang w:eastAsia="zh-CN"/>
        </w:rPr>
        <w:t>。</w:t>
      </w:r>
      <w:r>
        <w:rPr>
          <w:rFonts w:ascii="Times New Roman" w:hAnsi="Times New Roman" w:eastAsia="方正仿宋_GBK" w:cs="方正仿宋_GBK"/>
          <w:sz w:val="32"/>
          <w:szCs w:val="32"/>
          <w:shd w:val="clear" w:color="auto" w:fill="FFFFFF"/>
        </w:rPr>
        <w:t>较上年支出数增加0.15万元，增长0.84%，主要原因是</w:t>
      </w:r>
      <w:r>
        <w:rPr>
          <w:rFonts w:hint="eastAsia" w:ascii="Times New Roman" w:hAnsi="Times New Roman" w:eastAsia="方正仿宋_GBK"/>
          <w:b w:val="0"/>
          <w:sz w:val="32"/>
          <w:szCs w:val="32"/>
          <w:lang w:val="en-US" w:eastAsia="zh-CN"/>
        </w:rPr>
        <w:t>2023年度下乡调研工作等任务量加大，公车运行维护费有少量提升。</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 公务接待费</w:t>
      </w:r>
      <w:r>
        <w:rPr>
          <w:rFonts w:ascii="Times New Roman" w:hAnsi="Times New Roman" w:eastAsia="方正仿宋_GBK" w:cs="方正仿宋_GBK"/>
          <w:sz w:val="32"/>
          <w:szCs w:val="32"/>
        </w:rPr>
        <w:t>4.84</w:t>
      </w:r>
      <w:r>
        <w:rPr>
          <w:rFonts w:ascii="Times New Roman" w:hAnsi="Times New Roman" w:eastAsia="方正仿宋_GBK" w:cs="方正仿宋_GBK"/>
          <w:sz w:val="32"/>
          <w:szCs w:val="32"/>
          <w:shd w:val="clear" w:color="auto" w:fill="FFFFFF"/>
        </w:rPr>
        <w:t>万元，主要用于接待</w:t>
      </w:r>
      <w:r>
        <w:rPr>
          <w:rFonts w:hint="eastAsia" w:ascii="方正仿宋_GBK" w:hAnsi="方正仿宋_GBK" w:eastAsia="方正仿宋_GBK" w:cs="方正仿宋_GBK"/>
          <w:b w:val="0"/>
          <w:kern w:val="0"/>
          <w:sz w:val="32"/>
          <w:szCs w:val="32"/>
          <w:shd w:val="clear" w:fill="FFFFFF"/>
        </w:rPr>
        <w:t>招商引资考察、友好区县学习调研等有关工作发生的接待支出</w:t>
      </w:r>
      <w:r>
        <w:rPr>
          <w:rFonts w:hint="eastAsia" w:ascii="方正仿宋_GBK" w:hAnsi="方正仿宋_GBK" w:eastAsia="方正仿宋_GBK" w:cs="方正仿宋_GBK"/>
          <w:b w:val="0"/>
          <w:kern w:val="0"/>
          <w:sz w:val="32"/>
          <w:szCs w:val="32"/>
          <w:shd w:val="clear" w:fill="FFFFFF"/>
          <w:lang w:eastAsia="zh-CN"/>
        </w:rPr>
        <w:t>。</w:t>
      </w:r>
      <w:r>
        <w:rPr>
          <w:rFonts w:ascii="Times New Roman" w:hAnsi="Times New Roman" w:eastAsia="方正仿宋_GBK" w:cs="方正仿宋_GBK"/>
          <w:sz w:val="32"/>
          <w:szCs w:val="32"/>
          <w:shd w:val="clear" w:color="auto" w:fill="FFFFFF"/>
        </w:rPr>
        <w:t>费用支出较年初预算数减少0.66万元，下降12.00%，主要原因是</w:t>
      </w:r>
      <w:r>
        <w:rPr>
          <w:rFonts w:hint="eastAsia" w:ascii="方正仿宋_GBK" w:hAnsi="方正仿宋_GBK" w:eastAsia="方正仿宋_GBK" w:cs="方正仿宋_GBK"/>
          <w:b w:val="0"/>
          <w:kern w:val="0"/>
          <w:sz w:val="32"/>
          <w:szCs w:val="32"/>
          <w:shd w:val="clear" w:fill="FFFFFF"/>
        </w:rPr>
        <w:t>我单位</w:t>
      </w:r>
      <w:r>
        <w:rPr>
          <w:rFonts w:hint="eastAsia" w:ascii="方正仿宋_GBK" w:hAnsi="方正仿宋_GBK" w:eastAsia="方正仿宋_GBK" w:cs="方正仿宋_GBK"/>
          <w:b w:val="0"/>
          <w:color w:val="000000"/>
          <w:kern w:val="0"/>
          <w:sz w:val="32"/>
          <w:szCs w:val="32"/>
          <w:shd w:val="clear" w:fill="FFFFFF"/>
        </w:rPr>
        <w:t>认真贯彻落实中央八项规定精神，从严控制公务接待费，</w:t>
      </w:r>
      <w:r>
        <w:rPr>
          <w:rFonts w:hint="eastAsia" w:ascii="方正仿宋_GBK" w:hAnsi="方正仿宋_GBK" w:eastAsia="方正仿宋_GBK" w:cs="方正仿宋_GBK"/>
          <w:b w:val="0"/>
          <w:kern w:val="0"/>
          <w:sz w:val="32"/>
          <w:szCs w:val="32"/>
          <w:shd w:val="clear" w:fill="FFFFFF"/>
        </w:rPr>
        <w:t>严格遵守公务接待开支范围和标准</w:t>
      </w:r>
      <w:r>
        <w:rPr>
          <w:rFonts w:hint="eastAsia" w:ascii="方正仿宋_GBK" w:hAnsi="方正仿宋_GBK" w:eastAsia="方正仿宋_GBK" w:cs="方正仿宋_GBK"/>
          <w:b w:val="0"/>
          <w:kern w:val="0"/>
          <w:sz w:val="32"/>
          <w:szCs w:val="32"/>
          <w:shd w:val="clear" w:fill="FFFFFF"/>
          <w:lang w:eastAsia="zh-CN"/>
        </w:rPr>
        <w:t>。</w:t>
      </w:r>
      <w:r>
        <w:rPr>
          <w:rFonts w:ascii="Times New Roman" w:hAnsi="Times New Roman" w:eastAsia="方正仿宋_GBK" w:cs="方正仿宋_GBK"/>
          <w:sz w:val="32"/>
          <w:szCs w:val="32"/>
          <w:shd w:val="clear" w:color="auto" w:fill="FFFFFF"/>
        </w:rPr>
        <w:t>较上年支出数减少4.67万元，下降49.11%，主要原因是</w:t>
      </w:r>
      <w:r>
        <w:rPr>
          <w:rFonts w:hint="eastAsia" w:ascii="Times New Roman" w:hAnsi="Times New Roman" w:eastAsia="方正仿宋_GBK"/>
          <w:b w:val="0"/>
          <w:sz w:val="32"/>
          <w:szCs w:val="32"/>
          <w:lang w:val="en-US" w:eastAsia="zh-CN"/>
        </w:rPr>
        <w:t>2023年度上级赴忠检查工作次数、友好区县来忠调研次数均减少，同时我单位厉行节俭，公务接待费大幅度降低。</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（三）“三公”经费实物量情况</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2023年度本单位因公出国（境）共计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个团组，</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人；公务用车购置</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辆，公务车保有量为</w:t>
      </w:r>
      <w:r>
        <w:rPr>
          <w:rFonts w:ascii="Times New Roman" w:hAnsi="Times New Roman" w:eastAsia="方正仿宋_GBK" w:cs="方正仿宋_GBK"/>
          <w:sz w:val="32"/>
          <w:szCs w:val="32"/>
        </w:rPr>
        <w:t>7</w:t>
      </w:r>
      <w:r>
        <w:rPr>
          <w:rFonts w:ascii="Times New Roman" w:hAnsi="Times New Roman" w:eastAsia="方正仿宋_GBK" w:cs="方正仿宋_GBK"/>
          <w:sz w:val="32"/>
          <w:szCs w:val="32"/>
          <w:shd w:val="clear" w:color="auto" w:fill="FFFFFF"/>
        </w:rPr>
        <w:t>辆；国内公务接待</w:t>
      </w:r>
      <w:r>
        <w:rPr>
          <w:rFonts w:ascii="Times New Roman" w:hAnsi="Times New Roman" w:eastAsia="方正仿宋_GBK" w:cs="方正仿宋_GBK"/>
          <w:sz w:val="32"/>
          <w:szCs w:val="32"/>
        </w:rPr>
        <w:t>102</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520</w:t>
      </w:r>
      <w:r>
        <w:rPr>
          <w:rFonts w:ascii="Times New Roman" w:hAnsi="Times New Roman" w:eastAsia="方正仿宋_GBK" w:cs="方正仿宋_GBK"/>
          <w:sz w:val="32"/>
          <w:szCs w:val="32"/>
          <w:shd w:val="clear" w:color="auto" w:fill="FFFFFF"/>
        </w:rPr>
        <w:t>人，其中：国内外事接待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人；国（境）外公务接待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人。2023年本单位人均接待费</w:t>
      </w:r>
      <w:r>
        <w:rPr>
          <w:rFonts w:ascii="Times New Roman" w:hAnsi="Times New Roman" w:eastAsia="方正仿宋_GBK" w:cs="方正仿宋_GBK"/>
          <w:sz w:val="32"/>
          <w:szCs w:val="32"/>
        </w:rPr>
        <w:t>93.09</w:t>
      </w:r>
      <w:r>
        <w:rPr>
          <w:rFonts w:ascii="Times New Roman" w:hAnsi="Times New Roman" w:eastAsia="方正仿宋_GBK" w:cs="方正仿宋_GBK"/>
          <w:sz w:val="32"/>
          <w:szCs w:val="32"/>
          <w:shd w:val="clear" w:color="auto" w:fill="FFFFFF"/>
        </w:rPr>
        <w:t>元，车均购置费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万元，车均维护费</w:t>
      </w:r>
      <w:r>
        <w:rPr>
          <w:rFonts w:ascii="Times New Roman" w:hAnsi="Times New Roman" w:eastAsia="方正仿宋_GBK" w:cs="方正仿宋_GBK"/>
          <w:sz w:val="32"/>
          <w:szCs w:val="32"/>
        </w:rPr>
        <w:t>2.56</w:t>
      </w:r>
      <w:r>
        <w:rPr>
          <w:rFonts w:ascii="Times New Roman" w:hAnsi="Times New Roman" w:eastAsia="方正仿宋_GBK" w:cs="方正仿宋_GBK"/>
          <w:sz w:val="32"/>
          <w:szCs w:val="32"/>
          <w:shd w:val="clear" w:color="auto" w:fill="FFFFFF"/>
        </w:rPr>
        <w:t>万元。</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Style w:val="9"/>
          <w:rFonts w:hint="eastAsia" w:ascii="方正黑体_GBK" w:hAnsi="方正黑体_GBK" w:eastAsia="方正黑体_GBK" w:cs="方正黑体_GBK"/>
          <w:b w:val="0"/>
          <w:bCs/>
          <w:sz w:val="32"/>
          <w:szCs w:val="32"/>
          <w:shd w:val="clear" w:color="auto" w:fill="FFFFFF"/>
        </w:rPr>
      </w:pPr>
      <w:r>
        <w:rPr>
          <w:rStyle w:val="9"/>
          <w:rFonts w:hint="eastAsia" w:ascii="方正黑体_GBK" w:hAnsi="方正黑体_GBK" w:eastAsia="方正黑体_GBK" w:cs="方正黑体_GBK"/>
          <w:b w:val="0"/>
          <w:bCs/>
          <w:sz w:val="32"/>
          <w:szCs w:val="32"/>
          <w:shd w:val="clear" w:color="auto" w:fill="FFFFFF"/>
        </w:rPr>
        <w:t>四、其他需要说明的事项</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（一）财政拨款会议费和培训费情况说明</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本年度会议费支出</w:t>
      </w:r>
      <w:r>
        <w:rPr>
          <w:rFonts w:ascii="Times New Roman" w:hAnsi="Times New Roman" w:eastAsia="方正仿宋_GBK" w:cs="方正仿宋_GBK"/>
          <w:sz w:val="32"/>
          <w:szCs w:val="32"/>
        </w:rPr>
        <w:t>19.35</w:t>
      </w:r>
      <w:r>
        <w:rPr>
          <w:rFonts w:ascii="Times New Roman" w:hAnsi="Times New Roman" w:eastAsia="方正仿宋_GBK" w:cs="方正仿宋_GBK"/>
          <w:sz w:val="32"/>
          <w:szCs w:val="32"/>
          <w:shd w:val="clear" w:color="auto" w:fill="FFFFFF"/>
        </w:rPr>
        <w:t>万元，较上年决算数减少51.67万元，下降72.75%，主要原因是</w:t>
      </w:r>
      <w:r>
        <w:rPr>
          <w:rFonts w:hint="eastAsia" w:ascii="Times New Roman" w:hAnsi="Times New Roman" w:eastAsia="方正仿宋_GBK"/>
          <w:b w:val="0"/>
          <w:sz w:val="32"/>
          <w:szCs w:val="32"/>
          <w:lang w:val="en-US" w:eastAsia="zh-CN"/>
        </w:rPr>
        <w:t>2023年度无党代会相关费用支出，会议费同比大幅度降低</w:t>
      </w:r>
      <w:r>
        <w:rPr>
          <w:rFonts w:ascii="Times New Roman" w:hAnsi="Times New Roman" w:eastAsia="方正仿宋_GBK" w:cs="方正仿宋_GBK"/>
          <w:sz w:val="32"/>
          <w:szCs w:val="32"/>
          <w:shd w:val="clear" w:color="auto" w:fill="FFFFFF"/>
        </w:rPr>
        <w:t>。本年度培训费支出</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万元，较上年决算数无变化。</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（二）机关运行经费情况说明</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color w:val="FF0000"/>
          <w:sz w:val="32"/>
          <w:szCs w:val="32"/>
        </w:rPr>
      </w:pPr>
      <w:r>
        <w:rPr>
          <w:rFonts w:ascii="Times New Roman" w:hAnsi="Times New Roman" w:eastAsia="方正仿宋_GBK" w:cs="方正仿宋_GBK"/>
          <w:sz w:val="32"/>
          <w:szCs w:val="32"/>
          <w:shd w:val="clear" w:color="auto" w:fill="FFFFFF"/>
        </w:rPr>
        <w:t>2023年度本单位机关运行经费支出</w:t>
      </w:r>
      <w:r>
        <w:rPr>
          <w:rFonts w:ascii="Times New Roman" w:hAnsi="Times New Roman" w:eastAsia="方正仿宋_GBK" w:cs="方正仿宋_GBK"/>
          <w:sz w:val="32"/>
          <w:szCs w:val="32"/>
        </w:rPr>
        <w:t>132.04</w:t>
      </w:r>
      <w:r>
        <w:rPr>
          <w:rFonts w:ascii="Times New Roman" w:hAnsi="Times New Roman" w:eastAsia="方正仿宋_GBK" w:cs="方正仿宋_GBK"/>
          <w:sz w:val="32"/>
          <w:szCs w:val="32"/>
          <w:shd w:val="clear" w:color="auto" w:fill="FFFFFF"/>
        </w:rPr>
        <w:t>万元，机关运行经费主要用于开支</w:t>
      </w:r>
      <w:r>
        <w:rPr>
          <w:rFonts w:hint="eastAsia" w:ascii="Times New Roman" w:hAnsi="Times New Roman" w:eastAsia="方正仿宋_GBK" w:cs="方正仿宋_GBK"/>
          <w:sz w:val="32"/>
          <w:szCs w:val="32"/>
          <w:shd w:val="clear" w:color="auto" w:fill="FFFFFF"/>
        </w:rPr>
        <w:t>办公费、差旅费、邮电费、电费、公务车运行维护费、其他交通费用、其他商品和服务支出、信息网络购置费</w:t>
      </w:r>
      <w:r>
        <w:rPr>
          <w:rFonts w:hint="eastAsia" w:ascii="Times New Roman" w:hAnsi="Times New Roman" w:eastAsia="方正仿宋_GBK" w:cs="方正仿宋_GBK"/>
          <w:sz w:val="32"/>
          <w:szCs w:val="32"/>
          <w:shd w:val="clear" w:color="auto" w:fill="FFFFFF"/>
          <w:lang w:eastAsia="zh-CN"/>
        </w:rPr>
        <w:t>等。</w:t>
      </w:r>
      <w:r>
        <w:rPr>
          <w:rFonts w:ascii="Times New Roman" w:hAnsi="Times New Roman" w:eastAsia="方正仿宋_GBK" w:cs="方正仿宋_GBK"/>
          <w:sz w:val="32"/>
          <w:szCs w:val="32"/>
          <w:shd w:val="clear" w:color="auto" w:fill="FFFFFF"/>
        </w:rPr>
        <w:t>机关运行经费较上年支出数减少8.37万元，下降5.96%，主要原因是</w:t>
      </w:r>
      <w:r>
        <w:rPr>
          <w:rFonts w:hint="eastAsia" w:ascii="Times New Roman" w:hAnsi="Times New Roman" w:eastAsia="方正仿宋_GBK" w:cs="方正仿宋_GBK"/>
          <w:sz w:val="32"/>
          <w:szCs w:val="32"/>
          <w:shd w:val="clear" w:color="auto" w:fill="FFFFFF"/>
          <w:lang w:val="en-US" w:eastAsia="zh-CN"/>
        </w:rPr>
        <w:t>2023年度财政取消差旅费等重点工作经费保障，同时我单位厉行节俭，压减办公费、差旅费等支出。</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（三）国有资产占用情况说明</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  截至2023年12月31日，本单位共有车辆</w:t>
      </w:r>
      <w:r>
        <w:rPr>
          <w:rFonts w:ascii="Times New Roman" w:hAnsi="Times New Roman" w:eastAsia="方正仿宋_GBK" w:cs="方正仿宋_GBK"/>
          <w:sz w:val="32"/>
          <w:szCs w:val="32"/>
        </w:rPr>
        <w:t>7</w:t>
      </w:r>
      <w:r>
        <w:rPr>
          <w:rFonts w:ascii="Times New Roman" w:hAnsi="Times New Roman" w:eastAsia="方正仿宋_GBK" w:cs="方正仿宋_GBK"/>
          <w:sz w:val="32"/>
          <w:szCs w:val="32"/>
          <w:shd w:val="clear" w:color="auto" w:fill="FFFFFF"/>
        </w:rPr>
        <w:t>辆，其中，副部（省）级及以上领导用车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辆、主要负责人用车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辆、机要通信用车</w:t>
      </w:r>
      <w:r>
        <w:rPr>
          <w:rFonts w:ascii="Times New Roman" w:hAnsi="Times New Roman" w:eastAsia="方正仿宋_GBK" w:cs="方正仿宋_GBK"/>
          <w:sz w:val="32"/>
          <w:szCs w:val="32"/>
        </w:rPr>
        <w:t>1</w:t>
      </w:r>
      <w:r>
        <w:rPr>
          <w:rFonts w:ascii="Times New Roman" w:hAnsi="Times New Roman" w:eastAsia="方正仿宋_GBK" w:cs="方正仿宋_GBK"/>
          <w:sz w:val="32"/>
          <w:szCs w:val="32"/>
          <w:shd w:val="clear" w:color="auto" w:fill="FFFFFF"/>
        </w:rPr>
        <w:t>辆、应急保障用车</w:t>
      </w:r>
      <w:r>
        <w:rPr>
          <w:rFonts w:ascii="Times New Roman" w:hAnsi="Times New Roman" w:eastAsia="方正仿宋_GBK" w:cs="方正仿宋_GBK"/>
          <w:sz w:val="32"/>
          <w:szCs w:val="32"/>
        </w:rPr>
        <w:t>6</w:t>
      </w:r>
      <w:r>
        <w:rPr>
          <w:rFonts w:ascii="Times New Roman" w:hAnsi="Times New Roman" w:eastAsia="方正仿宋_GBK" w:cs="方正仿宋_GBK"/>
          <w:sz w:val="32"/>
          <w:szCs w:val="32"/>
          <w:shd w:val="clear" w:color="auto" w:fill="FFFFFF"/>
        </w:rPr>
        <w:t>辆、执法执勤用车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辆，特种专业技术用车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辆，离退休干部用车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辆。单价100万元（含）以上专用设备</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台（套）。</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（四）政府采购支出情况说明</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2023年度我单位未发生政府采购事项，无相关经费支出</w:t>
      </w:r>
      <w:r>
        <w:rPr>
          <w:rFonts w:hint="eastAsia" w:ascii="Times New Roman" w:hAnsi="Times New Roman" w:eastAsia="方正仿宋_GBK" w:cs="方正仿宋_GBK"/>
          <w:sz w:val="32"/>
          <w:szCs w:val="32"/>
          <w:shd w:val="clear" w:color="auto" w:fill="FFFFFF"/>
          <w:lang w:eastAsia="zh-CN"/>
        </w:rPr>
        <w:t>。</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Style w:val="9"/>
          <w:rFonts w:hint="eastAsia" w:ascii="方正黑体_GBK" w:hAnsi="方正黑体_GBK" w:eastAsia="方正黑体_GBK" w:cs="方正黑体_GBK"/>
          <w:b w:val="0"/>
          <w:bCs/>
          <w:sz w:val="32"/>
          <w:szCs w:val="32"/>
          <w:shd w:val="clear" w:color="auto" w:fill="FFFFFF"/>
        </w:rPr>
      </w:pPr>
      <w:r>
        <w:rPr>
          <w:rStyle w:val="9"/>
          <w:rFonts w:hint="eastAsia" w:ascii="方正黑体_GBK" w:hAnsi="方正黑体_GBK" w:eastAsia="方正黑体_GBK" w:cs="方正黑体_GBK"/>
          <w:b w:val="0"/>
          <w:bCs/>
          <w:sz w:val="32"/>
          <w:szCs w:val="32"/>
          <w:shd w:val="clear" w:color="auto" w:fill="FFFFFF"/>
          <w:lang w:eastAsia="zh-CN"/>
        </w:rPr>
        <w:t>五、</w:t>
      </w:r>
      <w:r>
        <w:rPr>
          <w:rStyle w:val="9"/>
          <w:rFonts w:hint="eastAsia" w:ascii="方正黑体_GBK" w:hAnsi="方正黑体_GBK" w:eastAsia="方正黑体_GBK" w:cs="方正黑体_GBK"/>
          <w:b w:val="0"/>
          <w:bCs/>
          <w:sz w:val="32"/>
          <w:szCs w:val="32"/>
          <w:shd w:val="clear" w:color="auto" w:fill="FFFFFF"/>
        </w:rPr>
        <w:t>预算绩效管理情况说明</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right="0" w:rightChars="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（一）单位自评情况</w:t>
      </w:r>
    </w:p>
    <w:p>
      <w:pPr>
        <w:pStyle w:val="13"/>
        <w:keepNext w:val="0"/>
        <w:keepLines w:val="0"/>
        <w:pageBreakBefore w:val="0"/>
        <w:widowControl/>
        <w:kinsoku/>
        <w:wordWrap/>
        <w:overflowPunct/>
        <w:topLinePunct w:val="0"/>
        <w:autoSpaceDE w:val="0"/>
        <w:autoSpaceDN/>
        <w:bidi w:val="0"/>
        <w:adjustRightInd/>
        <w:spacing w:before="0" w:beforeAutospacing="0" w:after="0" w:afterAutospacing="0" w:line="594" w:lineRule="exact"/>
        <w:ind w:left="0" w:leftChars="0" w:right="0" w:rightChars="0" w:firstLine="720" w:firstLineChars="200"/>
        <w:outlineLvl w:val="9"/>
        <w:rPr>
          <w:rFonts w:ascii="Times New Roman" w:hAnsi="Times New Roman" w:eastAsia="方正仿宋_GBK" w:cs="方正仿宋_GBK"/>
          <w:sz w:val="32"/>
          <w:szCs w:val="32"/>
          <w:highlight w:val="yellow"/>
          <w:shd w:val="clear" w:color="auto" w:fill="FFFFFF"/>
        </w:rPr>
      </w:pPr>
      <w:r>
        <w:rPr>
          <w:rFonts w:hint="eastAsia" w:ascii="Times New Roman" w:hAnsi="Times New Roman" w:eastAsia="方正仿宋_GBK" w:cs="方正仿宋_GBK"/>
          <w:sz w:val="32"/>
          <w:szCs w:val="32"/>
          <w:shd w:val="clear" w:color="auto" w:fill="FFFFFF"/>
        </w:rPr>
        <w:t>根据预算绩效管理要求，我单位对</w:t>
      </w:r>
      <w:r>
        <w:rPr>
          <w:rFonts w:hint="eastAsia" w:ascii="Times New Roman" w:hAnsi="Times New Roman" w:eastAsia="方正仿宋_GBK" w:cs="方正仿宋_GBK"/>
          <w:sz w:val="32"/>
          <w:szCs w:val="32"/>
          <w:shd w:val="clear" w:color="auto" w:fill="FFFFFF"/>
          <w:lang w:eastAsia="zh-CN"/>
        </w:rPr>
        <w:t>单位</w:t>
      </w:r>
      <w:r>
        <w:rPr>
          <w:rFonts w:hint="eastAsia" w:ascii="Times New Roman" w:hAnsi="Times New Roman" w:eastAsia="方正仿宋_GBK" w:cs="方正仿宋_GBK"/>
          <w:sz w:val="32"/>
          <w:szCs w:val="32"/>
          <w:shd w:val="clear" w:color="auto" w:fill="FFFFFF"/>
        </w:rPr>
        <w:t>整体和</w:t>
      </w:r>
      <w:r>
        <w:rPr>
          <w:rFonts w:hint="eastAsia" w:ascii="Times New Roman" w:hAnsi="Times New Roman" w:eastAsia="方正仿宋_GBK" w:cs="方正仿宋_GBK"/>
          <w:sz w:val="32"/>
          <w:szCs w:val="32"/>
          <w:shd w:val="clear" w:color="auto" w:fill="FFFFFF"/>
          <w:lang w:val="en-US" w:eastAsia="zh-CN"/>
        </w:rPr>
        <w:t>4</w:t>
      </w:r>
      <w:r>
        <w:rPr>
          <w:rFonts w:hint="eastAsia" w:ascii="Times New Roman" w:hAnsi="Times New Roman" w:eastAsia="方正仿宋_GBK" w:cs="方正仿宋_GBK"/>
          <w:sz w:val="32"/>
          <w:szCs w:val="32"/>
          <w:shd w:val="clear" w:color="auto" w:fill="FFFFFF"/>
        </w:rPr>
        <w:t>个二级项目开展了绩效自评，涉及财政拨款项目支出资金</w:t>
      </w:r>
      <w:r>
        <w:rPr>
          <w:rFonts w:hint="eastAsia" w:ascii="Times New Roman" w:hAnsi="Times New Roman" w:eastAsia="方正仿宋_GBK" w:cs="方正仿宋_GBK"/>
          <w:sz w:val="32"/>
          <w:szCs w:val="32"/>
          <w:shd w:val="clear" w:color="auto" w:fill="FFFFFF"/>
          <w:lang w:val="en-US" w:eastAsia="zh-CN"/>
        </w:rPr>
        <w:t>462.21</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方正仿宋_GBK"/>
          <w:sz w:val="32"/>
          <w:szCs w:val="32"/>
          <w:shd w:val="clear" w:color="auto" w:fill="FFFFFF"/>
          <w:lang w:eastAsia="zh-CN"/>
        </w:rPr>
        <w:t>。</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（二）单位绩效评价情况</w:t>
      </w:r>
    </w:p>
    <w:p>
      <w:pPr>
        <w:pStyle w:val="15"/>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rPr>
        <w:t>我单位未组织开展绩效评价</w:t>
      </w:r>
      <w:r>
        <w:rPr>
          <w:rFonts w:hint="eastAsia" w:ascii="Times New Roman" w:hAnsi="Times New Roman" w:eastAsia="方正仿宋_GBK" w:cs="方正仿宋_GBK"/>
          <w:sz w:val="32"/>
          <w:szCs w:val="32"/>
          <w:shd w:val="clear" w:color="auto" w:fill="FFFFFF"/>
          <w:lang w:eastAsia="zh-CN"/>
        </w:rPr>
        <w:t>。</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（三）财政绩效评价情况</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Fonts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rPr>
        <w:t>市财政局未委托第三方对我单位开展绩效评价。</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Style w:val="9"/>
          <w:rFonts w:hint="default" w:ascii="方正黑体_GBK" w:hAnsi="方正黑体_GBK" w:eastAsia="方正黑体_GBK" w:cs="方正黑体_GBK"/>
          <w:b w:val="0"/>
          <w:bCs/>
          <w:sz w:val="32"/>
          <w:szCs w:val="32"/>
          <w:shd w:val="clear" w:color="auto" w:fill="FFFFFF"/>
        </w:rPr>
      </w:pPr>
      <w:r>
        <w:rPr>
          <w:rStyle w:val="9"/>
          <w:rFonts w:ascii="Times New Roman" w:hAnsi="Times New Roman" w:eastAsia="方正仿宋_GBK" w:cs="方正仿宋_GBK"/>
          <w:sz w:val="32"/>
          <w:szCs w:val="32"/>
          <w:shd w:val="clear" w:color="auto" w:fill="FFFFFF"/>
        </w:rPr>
        <w:t xml:space="preserve">  </w:t>
      </w:r>
      <w:r>
        <w:rPr>
          <w:rStyle w:val="9"/>
          <w:rFonts w:hint="eastAsia" w:ascii="方正黑体_GBK" w:hAnsi="方正黑体_GBK" w:eastAsia="方正黑体_GBK" w:cs="方正黑体_GBK"/>
          <w:b w:val="0"/>
          <w:bCs/>
          <w:sz w:val="32"/>
          <w:szCs w:val="32"/>
          <w:shd w:val="clear" w:color="auto" w:fill="FFFFFF"/>
        </w:rPr>
        <w:t>六、专业名词解释</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ascii="Times New Roman" w:hAnsi="Times New Roman" w:eastAsia="方正仿宋_GBK" w:cs="方正仿宋_GBK"/>
          <w:b/>
          <w:bCs/>
          <w:sz w:val="32"/>
          <w:szCs w:val="32"/>
          <w:shd w:val="clear" w:color="auto" w:fill="FFFFFF"/>
        </w:rPr>
        <w:t> </w:t>
      </w:r>
      <w:r>
        <w:rPr>
          <w:rFonts w:hint="eastAsia" w:ascii="方正楷体_GBK" w:hAnsi="方正楷体_GBK" w:eastAsia="方正楷体_GBK" w:cs="方正楷体_GBK"/>
          <w:b w:val="0"/>
          <w:bCs w:val="0"/>
          <w:sz w:val="32"/>
          <w:szCs w:val="32"/>
          <w:shd w:val="clear" w:color="auto" w:fill="FFFFFF"/>
          <w:lang w:val="en-US" w:eastAsia="zh-CN" w:bidi="ar-SA"/>
        </w:rPr>
        <w:t>（一）财政拨款收入：</w:t>
      </w:r>
      <w:r>
        <w:rPr>
          <w:rFonts w:ascii="Times New Roman" w:hAnsi="Times New Roman" w:eastAsia="方正仿宋_GBK" w:cs="方正仿宋_GBK"/>
          <w:sz w:val="32"/>
          <w:szCs w:val="32"/>
          <w:shd w:val="clear" w:color="auto" w:fill="FFFFFF"/>
        </w:rPr>
        <w:t>指本年度从本级财政部门取得的财政拨款，包括一般公共预算财政拨款和政府性基金预算财政拨款。</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sz w:val="32"/>
          <w:szCs w:val="32"/>
          <w:shd w:val="clear" w:color="auto" w:fill="FFFFFF"/>
        </w:rPr>
        <w:t> </w:t>
      </w:r>
      <w:r>
        <w:rPr>
          <w:rFonts w:hint="eastAsia" w:ascii="方正楷体_GBK" w:hAnsi="方正楷体_GBK" w:eastAsia="方正楷体_GBK" w:cs="方正楷体_GBK"/>
          <w:b w:val="0"/>
          <w:bCs w:val="0"/>
          <w:sz w:val="32"/>
          <w:szCs w:val="32"/>
          <w:shd w:val="clear" w:color="auto" w:fill="FFFFFF"/>
          <w:lang w:val="en-US" w:eastAsia="zh-CN" w:bidi="ar-SA"/>
        </w:rPr>
        <w:t>（二）事业收入：</w:t>
      </w:r>
      <w:r>
        <w:rPr>
          <w:rFonts w:ascii="Times New Roman" w:hAnsi="Times New Roman"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（三）经营收入：</w:t>
      </w:r>
      <w:r>
        <w:rPr>
          <w:rFonts w:ascii="Times New Roman" w:hAnsi="Times New Roman" w:eastAsia="方正仿宋_GBK" w:cs="方正仿宋_GBK"/>
          <w:sz w:val="32"/>
          <w:szCs w:val="32"/>
          <w:shd w:val="clear" w:color="auto" w:fill="FFFFFF"/>
        </w:rPr>
        <w:t>指事业单位在专业业务活动及其辅助活动之外开展非独立核算经营活动取得的现金流入。</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sz w:val="32"/>
          <w:szCs w:val="32"/>
          <w:shd w:val="clear" w:color="auto" w:fill="FFFFFF"/>
        </w:rPr>
        <w:t> </w:t>
      </w:r>
      <w:r>
        <w:rPr>
          <w:rFonts w:hint="eastAsia" w:ascii="方正楷体_GBK" w:hAnsi="方正楷体_GBK" w:eastAsia="方正楷体_GBK" w:cs="方正楷体_GBK"/>
          <w:b w:val="0"/>
          <w:bCs w:val="0"/>
          <w:sz w:val="32"/>
          <w:szCs w:val="32"/>
          <w:shd w:val="clear" w:color="auto" w:fill="FFFFFF"/>
          <w:lang w:val="en-US" w:eastAsia="zh-CN" w:bidi="ar-SA"/>
        </w:rPr>
        <w:t>（四）其他收入：</w:t>
      </w:r>
      <w:r>
        <w:rPr>
          <w:rFonts w:ascii="Times New Roman" w:hAnsi="Times New Roman"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（五）使用非财政拨款结余：</w:t>
      </w:r>
      <w:r>
        <w:rPr>
          <w:rFonts w:ascii="Times New Roman" w:hAnsi="Times New Roman"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sz w:val="32"/>
          <w:szCs w:val="32"/>
          <w:shd w:val="clear" w:color="auto" w:fill="FFFFFF"/>
        </w:rPr>
        <w:t> </w:t>
      </w:r>
      <w:r>
        <w:rPr>
          <w:rFonts w:hint="eastAsia" w:ascii="方正楷体_GBK" w:hAnsi="方正楷体_GBK" w:eastAsia="方正楷体_GBK" w:cs="方正楷体_GBK"/>
          <w:b w:val="0"/>
          <w:bCs w:val="0"/>
          <w:sz w:val="32"/>
          <w:szCs w:val="32"/>
          <w:shd w:val="clear" w:color="auto" w:fill="FFFFFF"/>
          <w:lang w:val="en-US" w:eastAsia="zh-CN" w:bidi="ar-SA"/>
        </w:rPr>
        <w:t>（六）年初结转和结余：</w:t>
      </w:r>
      <w:r>
        <w:rPr>
          <w:rFonts w:ascii="Times New Roman" w:hAnsi="Times New Roman" w:eastAsia="方正仿宋_GBK" w:cs="方正仿宋_GBK"/>
          <w:sz w:val="32"/>
          <w:szCs w:val="32"/>
          <w:shd w:val="clear" w:color="auto" w:fill="FFFFFF"/>
        </w:rPr>
        <w:t>指单位上年结转本年使用的基本支出结转、项目支出结转和结余、经营结余。</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（七）结余分配：</w:t>
      </w:r>
      <w:r>
        <w:rPr>
          <w:rFonts w:ascii="Times New Roman" w:hAnsi="Times New Roman" w:eastAsia="方正仿宋_GBK" w:cs="方正仿宋_GBK"/>
          <w:sz w:val="32"/>
          <w:szCs w:val="32"/>
          <w:shd w:val="clear" w:color="auto" w:fill="FFFFFF"/>
        </w:rPr>
        <w:t>指单位按照国家有关规定，缴纳所得税、提取专用基金、转入非财政拨款结余等当年结余的分配情况。</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sz w:val="32"/>
          <w:szCs w:val="32"/>
          <w:shd w:val="clear" w:color="auto" w:fill="FFFFFF"/>
        </w:rPr>
        <w:t> </w:t>
      </w:r>
      <w:r>
        <w:rPr>
          <w:rFonts w:hint="eastAsia" w:ascii="方正楷体_GBK" w:hAnsi="方正楷体_GBK" w:eastAsia="方正楷体_GBK" w:cs="方正楷体_GBK"/>
          <w:b w:val="0"/>
          <w:bCs w:val="0"/>
          <w:sz w:val="32"/>
          <w:szCs w:val="32"/>
          <w:shd w:val="clear" w:color="auto" w:fill="FFFFFF"/>
          <w:lang w:val="en-US" w:eastAsia="zh-CN" w:bidi="ar-SA"/>
        </w:rPr>
        <w:t>（八）年末结转和结余：</w:t>
      </w:r>
      <w:r>
        <w:rPr>
          <w:rFonts w:ascii="Times New Roman" w:hAnsi="Times New Roman" w:eastAsia="方正仿宋_GBK" w:cs="方正仿宋_GBK"/>
          <w:sz w:val="32"/>
          <w:szCs w:val="32"/>
          <w:shd w:val="clear" w:color="auto" w:fill="FFFFFF"/>
        </w:rPr>
        <w:t>指单位结转下年的基本支出结转、项目支出结转和结余、经营结余。</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sz w:val="32"/>
          <w:szCs w:val="32"/>
          <w:shd w:val="clear" w:color="auto" w:fill="FFFFFF"/>
        </w:rPr>
        <w:t> </w:t>
      </w:r>
      <w:r>
        <w:rPr>
          <w:rFonts w:hint="eastAsia" w:ascii="方正楷体_GBK" w:hAnsi="方正楷体_GBK" w:eastAsia="方正楷体_GBK" w:cs="方正楷体_GBK"/>
          <w:b w:val="0"/>
          <w:bCs w:val="0"/>
          <w:sz w:val="32"/>
          <w:szCs w:val="32"/>
          <w:shd w:val="clear" w:color="auto" w:fill="FFFFFF"/>
          <w:lang w:val="en-US" w:eastAsia="zh-CN" w:bidi="ar-SA"/>
        </w:rPr>
        <w:t>（九）基本支出：</w:t>
      </w:r>
      <w:r>
        <w:rPr>
          <w:rFonts w:ascii="Times New Roman" w:hAnsi="Times New Roman"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（十）项目支出：</w:t>
      </w:r>
      <w:r>
        <w:rPr>
          <w:rFonts w:ascii="Times New Roman" w:hAnsi="Times New Roman" w:eastAsia="方正仿宋_GBK" w:cs="方正仿宋_GBK"/>
          <w:sz w:val="32"/>
          <w:szCs w:val="32"/>
          <w:shd w:val="clear" w:color="auto" w:fill="FFFFFF"/>
        </w:rPr>
        <w:t>指在基本支出之外为完成特定行政任务和事业发展目标所发生的支出。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（十一）经营支出：</w:t>
      </w:r>
      <w:r>
        <w:rPr>
          <w:rFonts w:ascii="Times New Roman" w:hAnsi="Times New Roman" w:eastAsia="方正仿宋_GBK" w:cs="方正仿宋_GBK"/>
          <w:sz w:val="32"/>
          <w:szCs w:val="32"/>
          <w:shd w:val="clear" w:color="auto" w:fill="FFFFFF"/>
        </w:rPr>
        <w:t>指事业单位在专业业务活动及其辅助活动之外开展非独立核算经营活动发生的支出。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（十二）“三公”经费：</w:t>
      </w:r>
      <w:r>
        <w:rPr>
          <w:rFonts w:ascii="Times New Roman" w:hAnsi="Times New Roman"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（十三）机关运行经费：</w:t>
      </w:r>
      <w:r>
        <w:rPr>
          <w:rFonts w:ascii="Times New Roman" w:hAnsi="Times New Roman"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（十四）工资福利支出（支出经济分类科目类级）：</w:t>
      </w:r>
      <w:r>
        <w:rPr>
          <w:rFonts w:ascii="Times New Roman" w:hAnsi="Times New Roman"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（十五）商品和服务支出（支出经济分类科目类级）：</w:t>
      </w:r>
      <w:r>
        <w:rPr>
          <w:rFonts w:ascii="Times New Roman" w:hAnsi="Times New Roman" w:eastAsia="方正仿宋_GBK" w:cs="方正仿宋_GBK"/>
          <w:sz w:val="32"/>
          <w:szCs w:val="32"/>
          <w:shd w:val="clear" w:color="auto" w:fill="FFFFFF"/>
        </w:rPr>
        <w:t>反映单位购买商品和服务的支出（不包括用于购置固定资产的支出、战略性和应急储备支出）。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lang w:val="en-US" w:eastAsia="zh-CN" w:bidi="ar-SA"/>
        </w:rPr>
        <w:t> （十六）对个人和家庭的补助（支出经济分类科目类级）：</w:t>
      </w:r>
      <w:r>
        <w:rPr>
          <w:rFonts w:ascii="Times New Roman" w:hAnsi="Times New Roman" w:eastAsia="方正仿宋_GBK" w:cs="方正仿宋_GBK"/>
          <w:sz w:val="32"/>
          <w:szCs w:val="32"/>
          <w:shd w:val="clear" w:color="auto" w:fill="FFFFFF"/>
        </w:rPr>
        <w:t>反映用于对个人和家庭的补助支出。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left="0" w:leftChars="0" w:right="0" w:rightChars="0" w:firstLine="720" w:firstLineChars="200"/>
        <w:jc w:val="both"/>
        <w:outlineLvl w:val="9"/>
        <w:rPr>
          <w:rFonts w:hint="default" w:ascii="Times New Roman" w:hAnsi="Times New Roman" w:eastAsia="方正仿宋_GBK" w:cs="方正仿宋_GBK"/>
          <w:sz w:val="32"/>
          <w:szCs w:val="32"/>
        </w:rPr>
      </w:pPr>
      <w:r>
        <w:rPr>
          <w:rStyle w:val="9"/>
          <w:rFonts w:ascii="Times New Roman" w:hAnsi="Times New Roman" w:eastAsia="方正仿宋_GBK" w:cs="方正仿宋_GBK"/>
          <w:sz w:val="32"/>
          <w:szCs w:val="32"/>
          <w:shd w:val="clear" w:color="auto" w:fill="FFFFFF"/>
        </w:rPr>
        <w:t> </w:t>
      </w:r>
      <w:r>
        <w:rPr>
          <w:rFonts w:hint="eastAsia" w:ascii="方正楷体_GBK" w:hAnsi="方正楷体_GBK" w:eastAsia="方正楷体_GBK" w:cs="方正楷体_GBK"/>
          <w:b w:val="0"/>
          <w:bCs w:val="0"/>
          <w:sz w:val="32"/>
          <w:szCs w:val="32"/>
          <w:shd w:val="clear" w:color="auto" w:fill="FFFFFF"/>
          <w:lang w:val="en-US" w:eastAsia="zh-CN" w:bidi="ar-SA"/>
        </w:rPr>
        <w:t>（十七）其他资本性支出（支出经济分类科目类级）：</w:t>
      </w:r>
      <w:r>
        <w:rPr>
          <w:rFonts w:ascii="Times New Roman" w:hAnsi="Times New Roman" w:eastAsia="方正仿宋_GBK" w:cs="方正仿宋_GBK"/>
          <w:sz w:val="32"/>
          <w:szCs w:val="32"/>
          <w:shd w:val="clear" w:color="auto" w:fill="FFFFFF"/>
        </w:rPr>
        <w:t>反映</w:t>
      </w:r>
      <w:r>
        <w:rPr>
          <w:rFonts w:hint="eastAsia" w:ascii="方正楷体_GBK" w:hAnsi="方正楷体_GBK" w:eastAsia="方正楷体_GBK" w:cs="方正楷体_GBK"/>
          <w:b w:val="0"/>
          <w:bCs w:val="0"/>
          <w:sz w:val="32"/>
          <w:szCs w:val="32"/>
          <w:shd w:val="clear" w:color="auto" w:fill="FFFFFF"/>
          <w:lang w:val="en-US" w:eastAsia="zh-CN" w:bidi="ar-SA"/>
        </w:rPr>
        <w:t>非各级发展与改革部门集中安排的用于购置固定资产、战略性和</w:t>
      </w:r>
      <w:r>
        <w:rPr>
          <w:rFonts w:ascii="Times New Roman" w:hAnsi="Times New Roman" w:eastAsia="方正仿宋_GBK" w:cs="方正仿宋_GBK"/>
          <w:sz w:val="32"/>
          <w:szCs w:val="32"/>
          <w:shd w:val="clear" w:color="auto" w:fill="FFFFFF"/>
        </w:rPr>
        <w:t>应急性储备、土地和无形资产，以及构建基础设施、大型修缮和财政支持企业更新改造所发生的支出。</w:t>
      </w:r>
    </w:p>
    <w:p>
      <w:pPr>
        <w:pStyle w:val="7"/>
        <w:keepNext w:val="0"/>
        <w:keepLines w:val="0"/>
        <w:pageBreakBefore w:val="0"/>
        <w:widowControl/>
        <w:shd w:val="clear" w:color="auto" w:fill="FFFFFF"/>
        <w:kinsoku/>
        <w:wordWrap/>
        <w:overflowPunct/>
        <w:topLinePunct w:val="0"/>
        <w:autoSpaceDN/>
        <w:bidi w:val="0"/>
        <w:adjustRightInd/>
        <w:spacing w:before="0" w:beforeAutospacing="0" w:after="0" w:afterAutospacing="0" w:line="594" w:lineRule="exact"/>
        <w:ind w:left="0" w:leftChars="0" w:right="0" w:rightChars="0" w:firstLine="720" w:firstLineChars="200"/>
        <w:outlineLvl w:val="9"/>
        <w:rPr>
          <w:rStyle w:val="9"/>
          <w:rFonts w:hint="eastAsia" w:ascii="方正黑体_GBK" w:hAnsi="方正黑体_GBK" w:eastAsia="方正黑体_GBK" w:cs="方正黑体_GBK"/>
          <w:b w:val="0"/>
          <w:bCs/>
          <w:sz w:val="32"/>
          <w:szCs w:val="32"/>
          <w:shd w:val="clear" w:color="auto" w:fill="FFFFFF"/>
        </w:rPr>
      </w:pPr>
      <w:r>
        <w:rPr>
          <w:rStyle w:val="9"/>
          <w:rFonts w:hint="eastAsia" w:ascii="方正黑体_GBK" w:hAnsi="方正黑体_GBK" w:eastAsia="方正黑体_GBK" w:cs="方正黑体_GBK"/>
          <w:b w:val="0"/>
          <w:bCs/>
          <w:sz w:val="32"/>
          <w:szCs w:val="32"/>
          <w:shd w:val="clear" w:color="auto" w:fill="FFFFFF"/>
        </w:rPr>
        <w:t>七、决算公开联系方式及信息反馈渠道</w:t>
      </w:r>
    </w:p>
    <w:p>
      <w:pPr>
        <w:pStyle w:val="18"/>
      </w:pPr>
      <w:r>
        <w:t>本</w:t>
      </w:r>
      <w:r>
        <w:rPr>
          <w:rFonts w:hint="eastAsia" w:ascii="方正仿宋_GBK" w:hAnsi="方正仿宋_GBK" w:eastAsia="方正仿宋_GBK" w:cs="方正仿宋_GBK"/>
          <w:b w:val="0"/>
          <w:kern w:val="0"/>
          <w:sz w:val="32"/>
          <w:szCs w:val="32"/>
          <w:shd w:val="clear" w:fill="FFFFFF"/>
        </w:rPr>
        <w:t>单位决算公开信息反馈和联系方式：</w:t>
      </w:r>
      <w:r>
        <w:rPr>
          <w:rFonts w:hint="default" w:ascii="Times New Roman" w:hAnsi="Times New Roman" w:eastAsia="方正仿宋_GBK" w:cs="Times New Roman"/>
          <w:b w:val="0"/>
          <w:kern w:val="0"/>
          <w:sz w:val="32"/>
          <w:szCs w:val="32"/>
          <w:shd w:val="clear" w:fill="FFFFFF"/>
        </w:rPr>
        <w:t>023-54235392</w:t>
      </w:r>
    </w:p>
    <w:p>
      <w:pPr>
        <w:pStyle w:val="12"/>
        <w:keepNext w:val="0"/>
        <w:keepLines w:val="0"/>
        <w:pageBreakBefore w:val="0"/>
        <w:widowControl/>
        <w:kinsoku/>
        <w:wordWrap/>
        <w:overflowPunct/>
        <w:topLinePunct w:val="0"/>
        <w:autoSpaceDE w:val="0"/>
        <w:autoSpaceDN/>
        <w:bidi w:val="0"/>
        <w:adjustRightInd/>
        <w:spacing w:beforeAutospacing="0" w:afterAutospacing="0" w:line="594" w:lineRule="exact"/>
        <w:ind w:left="0" w:leftChars="0" w:right="0" w:rightChars="0" w:firstLine="720" w:firstLineChars="200"/>
        <w:outlineLvl w:val="9"/>
        <w:rPr>
          <w:rStyle w:val="9"/>
          <w:rFonts w:ascii="Times New Roman" w:hAnsi="Times New Roman" w:eastAsia="方正仿宋_GBK" w:cs="方正仿宋_GBK"/>
          <w:sz w:val="32"/>
          <w:szCs w:val="32"/>
          <w:shd w:val="clear" w:color="auto" w:fill="FFFF00"/>
        </w:rPr>
        <w:sectPr>
          <w:footerReference r:id="rId3" w:type="default"/>
          <w:pgSz w:w="11915" w:h="16840"/>
          <w:pgMar w:top="1984" w:right="1446" w:bottom="1644" w:left="1446" w:header="851" w:footer="992" w:gutter="0"/>
          <w:pgNumType w:fmt="numberInDash"/>
          <w:cols w:space="720" w:num="1"/>
          <w:docGrid w:type="lines" w:linePitch="312" w:charSpace="0"/>
        </w:sectPr>
      </w:pPr>
    </w:p>
    <w:p>
      <w:pPr>
        <w:rPr>
          <w:rFonts w:hint="default" w:cs="宋体"/>
          <w:sz w:val="21"/>
          <w:szCs w:val="21"/>
        </w:rPr>
      </w:pPr>
    </w:p>
    <w:tbl>
      <w:tblPr>
        <w:tblStyle w:val="10"/>
        <w:tblW w:w="15393" w:type="dxa"/>
        <w:tblInd w:w="0" w:type="dxa"/>
        <w:tblLayout w:type="fixed"/>
        <w:tblCellMar>
          <w:top w:w="0" w:type="dxa"/>
          <w:left w:w="0" w:type="dxa"/>
          <w:bottom w:w="0" w:type="dxa"/>
          <w:right w:w="0" w:type="dxa"/>
        </w:tblCellMar>
      </w:tblPr>
      <w:tblGrid>
        <w:gridCol w:w="5122"/>
        <w:gridCol w:w="2020"/>
        <w:gridCol w:w="4809"/>
        <w:gridCol w:w="3442"/>
      </w:tblGrid>
      <w:tr>
        <w:tblPrEx>
          <w:tblLayout w:type="fixed"/>
          <w:tblCellMar>
            <w:top w:w="0" w:type="dxa"/>
            <w:left w:w="0" w:type="dxa"/>
            <w:bottom w:w="0" w:type="dxa"/>
            <w:right w:w="0" w:type="dxa"/>
          </w:tblCellMar>
        </w:tblPrEx>
        <w:trPr>
          <w:trHeight w:val="232" w:hRule="atLeast"/>
        </w:trPr>
        <w:tc>
          <w:tcPr>
            <w:tcW w:w="15393" w:type="dxa"/>
            <w:gridSpan w:val="4"/>
            <w:tcBorders>
              <w:top w:val="nil"/>
              <w:left w:val="nil"/>
              <w:bottom w:val="nil"/>
              <w:right w:val="nil"/>
            </w:tcBorders>
            <w:shd w:val="clear" w:color="auto" w:fill="auto"/>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Layout w:type="fixed"/>
          <w:tblCellMar>
            <w:top w:w="0" w:type="dxa"/>
            <w:left w:w="0" w:type="dxa"/>
            <w:bottom w:w="0" w:type="dxa"/>
            <w:right w:w="0" w:type="dxa"/>
          </w:tblCellMar>
        </w:tblPrEx>
        <w:trPr>
          <w:trHeight w:val="232" w:hRule="atLeast"/>
        </w:trPr>
        <w:tc>
          <w:tcPr>
            <w:tcW w:w="5122"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ascii="Arial" w:hAnsi="Arial" w:cs="Arial"/>
                <w:color w:val="000000"/>
                <w:sz w:val="20"/>
                <w:szCs w:val="20"/>
              </w:rPr>
            </w:pPr>
          </w:p>
        </w:tc>
        <w:tc>
          <w:tcPr>
            <w:tcW w:w="2020" w:type="dxa"/>
            <w:tcBorders>
              <w:top w:val="nil"/>
              <w:left w:val="nil"/>
              <w:bottom w:val="nil"/>
              <w:right w:val="nil"/>
            </w:tcBorders>
            <w:shd w:val="clear" w:color="auto" w:fill="auto"/>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4809"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ascii="Arial" w:hAnsi="Arial" w:cs="Arial"/>
                <w:color w:val="000000"/>
                <w:sz w:val="20"/>
                <w:szCs w:val="20"/>
              </w:rPr>
            </w:pPr>
          </w:p>
        </w:tc>
        <w:tc>
          <w:tcPr>
            <w:tcW w:w="3442" w:type="dxa"/>
            <w:tcBorders>
              <w:top w:val="nil"/>
              <w:left w:val="nil"/>
              <w:bottom w:val="nil"/>
              <w:right w:val="nil"/>
            </w:tcBorders>
            <w:shd w:val="clear" w:color="auto" w:fill="auto"/>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Layout w:type="fixed"/>
          <w:tblCellMar>
            <w:top w:w="0" w:type="dxa"/>
            <w:left w:w="0" w:type="dxa"/>
            <w:bottom w:w="0" w:type="dxa"/>
            <w:right w:w="0" w:type="dxa"/>
          </w:tblCellMar>
        </w:tblPrEx>
        <w:trPr>
          <w:trHeight w:val="232" w:hRule="atLeast"/>
        </w:trPr>
        <w:tc>
          <w:tcPr>
            <w:tcW w:w="7142" w:type="dxa"/>
            <w:gridSpan w:val="2"/>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中共忠县县委办公室（本级）</w:t>
            </w:r>
          </w:p>
        </w:tc>
        <w:tc>
          <w:tcPr>
            <w:tcW w:w="4809"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ascii="Arial" w:hAnsi="Arial" w:cs="Arial"/>
                <w:color w:val="000000"/>
                <w:sz w:val="22"/>
                <w:szCs w:val="22"/>
              </w:rPr>
            </w:pPr>
          </w:p>
        </w:tc>
        <w:tc>
          <w:tcPr>
            <w:tcW w:w="3442" w:type="dxa"/>
            <w:tcBorders>
              <w:top w:val="nil"/>
              <w:left w:val="nil"/>
              <w:bottom w:val="nil"/>
              <w:right w:val="nil"/>
            </w:tcBorders>
            <w:shd w:val="clear" w:color="auto" w:fill="auto"/>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243" w:hRule="atLeast"/>
        </w:trPr>
        <w:tc>
          <w:tcPr>
            <w:tcW w:w="71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8251" w:type="dxa"/>
            <w:gridSpan w:val="2"/>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2020"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344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1,442.01</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1,165.99</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2020" w:type="dxa"/>
            <w:tcBorders>
              <w:top w:val="nil"/>
              <w:left w:val="nil"/>
              <w:bottom w:val="nil"/>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178.31</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38.85</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58.86</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rPr>
                <w:rFonts w:hint="default" w:cs="宋体"/>
                <w:b/>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1,442.01</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1,442.01</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3442"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5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1,442.01</w:t>
            </w:r>
            <w:r>
              <w:rPr>
                <w:color w:val="000000"/>
                <w:sz w:val="20"/>
                <w:u w:color="auto"/>
              </w:rPr>
              <w:t xml:space="preserve"> </w:t>
            </w:r>
          </w:p>
        </w:tc>
        <w:tc>
          <w:tcPr>
            <w:tcW w:w="4809" w:type="dxa"/>
            <w:tcBorders>
              <w:top w:val="nil"/>
              <w:left w:val="nil"/>
              <w:bottom w:val="single" w:color="000000" w:sz="4" w:space="0"/>
              <w:right w:val="single" w:color="auto" w:sz="4" w:space="0"/>
            </w:tcBorders>
            <w:shd w:val="clear" w:color="FFFFFF" w:fill="C0C0C0"/>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344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1,442.01</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10"/>
        <w:tblW w:w="15378" w:type="dxa"/>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Layout w:type="fixed"/>
          <w:tblCellMar>
            <w:top w:w="0" w:type="dxa"/>
            <w:left w:w="0" w:type="dxa"/>
            <w:bottom w:w="0" w:type="dxa"/>
            <w:right w:w="0" w:type="dxa"/>
          </w:tblCellMar>
        </w:tblPrEx>
        <w:trPr>
          <w:trHeight w:val="641" w:hRule="atLeast"/>
        </w:trPr>
        <w:tc>
          <w:tcPr>
            <w:tcW w:w="15378" w:type="dxa"/>
            <w:gridSpan w:val="10"/>
            <w:tcBorders>
              <w:top w:val="nil"/>
              <w:left w:val="nil"/>
              <w:bottom w:val="nil"/>
              <w:right w:val="nil"/>
            </w:tcBorders>
            <w:shd w:val="clear" w:color="auto" w:fill="auto"/>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Layout w:type="fixed"/>
          <w:tblCellMar>
            <w:top w:w="0" w:type="dxa"/>
            <w:left w:w="0" w:type="dxa"/>
            <w:bottom w:w="0" w:type="dxa"/>
            <w:right w:w="0" w:type="dxa"/>
          </w:tblCellMar>
        </w:tblPrEx>
        <w:trPr>
          <w:trHeight w:val="328" w:hRule="atLeast"/>
        </w:trPr>
        <w:tc>
          <w:tcPr>
            <w:tcW w:w="6106" w:type="dxa"/>
            <w:gridSpan w:val="3"/>
            <w:vMerge w:val="restart"/>
            <w:tcBorders>
              <w:top w:val="nil"/>
              <w:left w:val="nil"/>
              <w:right w:val="nil"/>
            </w:tcBorders>
            <w:shd w:val="clear" w:color="auto" w:fill="auto"/>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中共忠县县委办公室（本级）</w:t>
            </w:r>
          </w:p>
        </w:tc>
        <w:tc>
          <w:tcPr>
            <w:tcW w:w="1233"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Layout w:type="fixed"/>
          <w:tblCellMar>
            <w:top w:w="0" w:type="dxa"/>
            <w:left w:w="0" w:type="dxa"/>
            <w:bottom w:w="0" w:type="dxa"/>
            <w:right w:w="0" w:type="dxa"/>
          </w:tblCellMar>
        </w:tblPrEx>
        <w:trPr>
          <w:trHeight w:val="328" w:hRule="atLeast"/>
        </w:trPr>
        <w:tc>
          <w:tcPr>
            <w:tcW w:w="6106" w:type="dxa"/>
            <w:gridSpan w:val="3"/>
            <w:vMerge w:val="continue"/>
            <w:tcBorders>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431" w:hRule="atLeast"/>
        </w:trPr>
        <w:tc>
          <w:tcPr>
            <w:tcW w:w="4873" w:type="dxa"/>
            <w:gridSpan w:val="2"/>
            <w:tcBorders>
              <w:top w:val="single" w:color="000000" w:sz="4" w:space="0"/>
              <w:left w:val="single" w:color="000000" w:sz="4" w:space="0"/>
              <w:bottom w:val="single" w:color="000000" w:sz="4" w:space="0"/>
              <w:right w:val="nil"/>
            </w:tcBorders>
            <w:shd w:val="clear" w:color="auto" w:fill="D0CECE"/>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2599" w:type="dxa"/>
            <w:gridSpan w:val="2"/>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13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14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146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Layout w:type="fixed"/>
          <w:tblCellMar>
            <w:top w:w="0" w:type="dxa"/>
            <w:left w:w="0" w:type="dxa"/>
            <w:bottom w:w="0" w:type="dxa"/>
            <w:right w:w="0" w:type="dxa"/>
          </w:tblCellMar>
        </w:tblPrEx>
        <w:trPr>
          <w:trHeight w:val="334" w:hRule="atLeast"/>
        </w:trPr>
        <w:tc>
          <w:tcPr>
            <w:tcW w:w="170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171" w:type="dxa"/>
            <w:vMerge w:val="restart"/>
            <w:tcBorders>
              <w:top w:val="nil"/>
              <w:left w:val="nil"/>
              <w:bottom w:val="single" w:color="000000" w:sz="4" w:space="0"/>
              <w:right w:val="nil"/>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4873"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1,442.01</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1,442.01</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3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6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1,165.99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1,165.99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20113</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商贸事务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10.00</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10.00</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2011302</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10.00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10.00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20131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党委办公厅（室）及相关机构事务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1,155.99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1,155.99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2013101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行政运行</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703.77</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703.77</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2013102</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452.21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452.21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68.90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68.90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34.45</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34.45</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74.96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74.96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28.09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28.09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10.76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10.76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58.86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58.86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10"/>
        <w:tblW w:w="15378" w:type="dxa"/>
        <w:tblInd w:w="0" w:type="dxa"/>
        <w:tblLayout w:type="fixed"/>
        <w:tblCellMar>
          <w:top w:w="0" w:type="dxa"/>
          <w:left w:w="0" w:type="dxa"/>
          <w:bottom w:w="0" w:type="dxa"/>
          <w:right w:w="0" w:type="dxa"/>
        </w:tblCellMar>
      </w:tblPr>
      <w:tblGrid>
        <w:gridCol w:w="1803"/>
        <w:gridCol w:w="3355"/>
        <w:gridCol w:w="1701"/>
        <w:gridCol w:w="1701"/>
        <w:gridCol w:w="1701"/>
        <w:gridCol w:w="1685"/>
        <w:gridCol w:w="1685"/>
        <w:gridCol w:w="1747"/>
      </w:tblGrid>
      <w:tr>
        <w:tblPrEx>
          <w:tblLayout w:type="fixed"/>
          <w:tblCellMar>
            <w:top w:w="0" w:type="dxa"/>
            <w:left w:w="0" w:type="dxa"/>
            <w:bottom w:w="0" w:type="dxa"/>
            <w:right w:w="0" w:type="dxa"/>
          </w:tblCellMar>
        </w:tblPrEx>
        <w:trPr>
          <w:trHeight w:val="654" w:hRule="atLeast"/>
        </w:trPr>
        <w:tc>
          <w:tcPr>
            <w:tcW w:w="15378" w:type="dxa"/>
            <w:gridSpan w:val="8"/>
            <w:tcBorders>
              <w:top w:val="nil"/>
              <w:left w:val="nil"/>
              <w:bottom w:val="nil"/>
              <w:right w:val="nil"/>
            </w:tcBorders>
            <w:shd w:val="clear" w:color="auto" w:fill="auto"/>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Layout w:type="fixed"/>
          <w:tblCellMar>
            <w:top w:w="0" w:type="dxa"/>
            <w:left w:w="0" w:type="dxa"/>
            <w:bottom w:w="0" w:type="dxa"/>
            <w:right w:w="0" w:type="dxa"/>
          </w:tblCellMar>
        </w:tblPrEx>
        <w:trPr>
          <w:trHeight w:val="342" w:hRule="atLeast"/>
        </w:trPr>
        <w:tc>
          <w:tcPr>
            <w:tcW w:w="6859" w:type="dxa"/>
            <w:gridSpan w:val="3"/>
            <w:vMerge w:val="restart"/>
            <w:tcBorders>
              <w:top w:val="nil"/>
              <w:left w:val="nil"/>
              <w:right w:val="nil"/>
            </w:tcBorders>
            <w:shd w:val="clear" w:color="auto" w:fill="auto"/>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中共忠县县委办公室（本级） </w:t>
            </w:r>
          </w:p>
        </w:tc>
        <w:tc>
          <w:tcPr>
            <w:tcW w:w="1701"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Layout w:type="fixed"/>
          <w:tblCellMar>
            <w:top w:w="0" w:type="dxa"/>
            <w:left w:w="0" w:type="dxa"/>
            <w:bottom w:w="0" w:type="dxa"/>
            <w:right w:w="0" w:type="dxa"/>
          </w:tblCellMar>
        </w:tblPrEx>
        <w:trPr>
          <w:trHeight w:val="342" w:hRule="atLeast"/>
        </w:trPr>
        <w:tc>
          <w:tcPr>
            <w:tcW w:w="6859" w:type="dxa"/>
            <w:gridSpan w:val="3"/>
            <w:vMerge w:val="continue"/>
            <w:tcBorders>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174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Layout w:type="fixed"/>
          <w:tblCellMar>
            <w:top w:w="0" w:type="dxa"/>
            <w:left w:w="0" w:type="dxa"/>
            <w:bottom w:w="0" w:type="dxa"/>
            <w:right w:w="0" w:type="dxa"/>
          </w:tblCellMar>
        </w:tblPrEx>
        <w:trPr>
          <w:trHeight w:val="338" w:hRule="atLeast"/>
        </w:trPr>
        <w:tc>
          <w:tcPr>
            <w:tcW w:w="1803"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355" w:type="dxa"/>
            <w:vMerge w:val="restart"/>
            <w:tcBorders>
              <w:top w:val="nil"/>
              <w:left w:val="nil"/>
              <w:bottom w:val="single" w:color="000000" w:sz="4" w:space="0"/>
              <w:right w:val="nil"/>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1,442.01</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979.79</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462.21</w:t>
            </w: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4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1,165.99</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703.77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462.21</w:t>
            </w:r>
            <w:r>
              <w:rPr>
                <w:b/>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20113</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商贸事务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10.00</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10.00</w:t>
            </w:r>
            <w:r>
              <w:rPr>
                <w:b/>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2011302</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10.00</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10.00</w:t>
            </w: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20131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党委办公厅（室）及相关机构事务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1,155.99</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703.77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452.21</w:t>
            </w:r>
            <w:r>
              <w:rPr>
                <w:b/>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2013101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行政运行</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703.77</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703.77</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2013102</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452.21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452.21</w:t>
            </w: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178.31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68.90</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68.90</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34.45</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34.45</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74.96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74.96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38.85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28.09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28.09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10.76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10.76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58.86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58.86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58.86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10"/>
        <w:tblW w:w="14732" w:type="dxa"/>
        <w:tblInd w:w="0" w:type="dxa"/>
        <w:tblLayout w:type="fixed"/>
        <w:tblCellMar>
          <w:top w:w="0" w:type="dxa"/>
          <w:left w:w="0" w:type="dxa"/>
          <w:bottom w:w="0" w:type="dxa"/>
          <w:right w:w="0" w:type="dxa"/>
        </w:tblCellMar>
      </w:tblPr>
      <w:tblGrid>
        <w:gridCol w:w="2979"/>
        <w:gridCol w:w="1526"/>
        <w:gridCol w:w="3191"/>
        <w:gridCol w:w="1700"/>
        <w:gridCol w:w="1700"/>
        <w:gridCol w:w="1700"/>
        <w:gridCol w:w="1936"/>
      </w:tblGrid>
      <w:tr>
        <w:tblPrEx>
          <w:tblLayout w:type="fixed"/>
          <w:tblCellMar>
            <w:top w:w="0" w:type="dxa"/>
            <w:left w:w="0" w:type="dxa"/>
            <w:bottom w:w="0" w:type="dxa"/>
            <w:right w:w="0" w:type="dxa"/>
          </w:tblCellMar>
        </w:tblPrEx>
        <w:trPr>
          <w:trHeight w:val="90" w:hRule="atLeast"/>
        </w:trPr>
        <w:tc>
          <w:tcPr>
            <w:tcW w:w="14732" w:type="dxa"/>
            <w:gridSpan w:val="7"/>
            <w:tcBorders>
              <w:top w:val="nil"/>
              <w:left w:val="nil"/>
              <w:bottom w:val="nil"/>
              <w:right w:val="nil"/>
            </w:tcBorders>
            <w:shd w:val="clear" w:color="auto" w:fill="auto"/>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Layout w:type="fixed"/>
          <w:tblCellMar>
            <w:top w:w="0" w:type="dxa"/>
            <w:left w:w="0" w:type="dxa"/>
            <w:bottom w:w="0" w:type="dxa"/>
            <w:right w:w="0" w:type="dxa"/>
          </w:tblCellMar>
        </w:tblPrEx>
        <w:trPr>
          <w:trHeight w:val="90" w:hRule="atLeast"/>
        </w:trPr>
        <w:tc>
          <w:tcPr>
            <w:tcW w:w="7696" w:type="dxa"/>
            <w:gridSpan w:val="3"/>
            <w:vMerge w:val="restart"/>
            <w:tcBorders>
              <w:top w:val="nil"/>
              <w:left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中共忠县县委办公室（本级）</w:t>
            </w:r>
          </w:p>
        </w:tc>
        <w:tc>
          <w:tcPr>
            <w:tcW w:w="1700"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Layout w:type="fixed"/>
          <w:tblCellMar>
            <w:top w:w="0" w:type="dxa"/>
            <w:left w:w="0" w:type="dxa"/>
            <w:bottom w:w="0" w:type="dxa"/>
            <w:right w:w="0" w:type="dxa"/>
          </w:tblCellMar>
        </w:tblPrEx>
        <w:trPr>
          <w:trHeight w:val="90" w:hRule="atLeast"/>
        </w:trPr>
        <w:tc>
          <w:tcPr>
            <w:tcW w:w="7696" w:type="dxa"/>
            <w:gridSpan w:val="3"/>
            <w:vMerge w:val="continue"/>
            <w:tcBorders>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90" w:hRule="atLeast"/>
        </w:trPr>
        <w:tc>
          <w:tcPr>
            <w:tcW w:w="450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10227" w:type="dxa"/>
            <w:gridSpan w:val="5"/>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Layout w:type="fixed"/>
          <w:tblCellMar>
            <w:top w:w="0" w:type="dxa"/>
            <w:left w:w="0" w:type="dxa"/>
            <w:bottom w:w="0" w:type="dxa"/>
            <w:right w:w="0" w:type="dxa"/>
          </w:tblCellMar>
        </w:tblPrEx>
        <w:trPr>
          <w:trHeight w:val="90" w:hRule="atLeast"/>
        </w:trPr>
        <w:tc>
          <w:tcPr>
            <w:tcW w:w="297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152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319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7036" w:type="dxa"/>
            <w:gridSpan w:val="4"/>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Layout w:type="fixed"/>
          <w:tblCellMar>
            <w:top w:w="0" w:type="dxa"/>
            <w:left w:w="0" w:type="dxa"/>
            <w:bottom w:w="0" w:type="dxa"/>
            <w:right w:w="0" w:type="dxa"/>
          </w:tblCellMar>
        </w:tblPrEx>
        <w:trPr>
          <w:trHeight w:val="90" w:hRule="atLeast"/>
        </w:trPr>
        <w:tc>
          <w:tcPr>
            <w:tcW w:w="297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52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19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19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1,442.01</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1,165.99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1,165.99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178.31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178.31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38.85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38.85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58.86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58.86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1,442.01</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1,442.01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1,442.01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1,442.01</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1,442.01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1,442.01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10"/>
        <w:tblW w:w="15378" w:type="dxa"/>
        <w:tblInd w:w="0" w:type="dxa"/>
        <w:tblLayout w:type="fixed"/>
        <w:tblCellMar>
          <w:top w:w="0" w:type="dxa"/>
          <w:left w:w="0" w:type="dxa"/>
          <w:bottom w:w="0" w:type="dxa"/>
          <w:right w:w="0" w:type="dxa"/>
        </w:tblCellMar>
      </w:tblPr>
      <w:tblGrid>
        <w:gridCol w:w="1857"/>
        <w:gridCol w:w="3549"/>
        <w:gridCol w:w="3319"/>
        <w:gridCol w:w="3319"/>
        <w:gridCol w:w="3334"/>
      </w:tblGrid>
      <w:tr>
        <w:tblPrEx>
          <w:tblLayout w:type="fixed"/>
          <w:tblCellMar>
            <w:top w:w="0" w:type="dxa"/>
            <w:left w:w="0" w:type="dxa"/>
            <w:bottom w:w="0" w:type="dxa"/>
            <w:right w:w="0" w:type="dxa"/>
          </w:tblCellMar>
        </w:tblPrEx>
        <w:trPr>
          <w:trHeight w:val="510" w:hRule="atLeast"/>
        </w:trPr>
        <w:tc>
          <w:tcPr>
            <w:tcW w:w="15378" w:type="dxa"/>
            <w:gridSpan w:val="5"/>
            <w:tcBorders>
              <w:top w:val="nil"/>
              <w:left w:val="nil"/>
              <w:bottom w:val="nil"/>
              <w:right w:val="nil"/>
            </w:tcBorders>
            <w:shd w:val="clear" w:color="auto" w:fill="auto"/>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Layout w:type="fixed"/>
          <w:tblCellMar>
            <w:top w:w="0" w:type="dxa"/>
            <w:left w:w="0" w:type="dxa"/>
            <w:bottom w:w="0" w:type="dxa"/>
            <w:right w:w="0" w:type="dxa"/>
          </w:tblCellMar>
        </w:tblPrEx>
        <w:trPr>
          <w:trHeight w:val="255" w:hRule="atLeast"/>
        </w:trPr>
        <w:tc>
          <w:tcPr>
            <w:tcW w:w="8725" w:type="dxa"/>
            <w:gridSpan w:val="3"/>
            <w:vMerge w:val="restart"/>
            <w:tcBorders>
              <w:top w:val="nil"/>
              <w:left w:val="nil"/>
              <w:right w:val="nil"/>
            </w:tcBorders>
            <w:shd w:val="clear" w:color="auto" w:fill="auto"/>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中共忠县县委办公室（本级）</w:t>
            </w:r>
          </w:p>
        </w:tc>
        <w:tc>
          <w:tcPr>
            <w:tcW w:w="3319"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Layout w:type="fixed"/>
          <w:tblCellMar>
            <w:top w:w="0" w:type="dxa"/>
            <w:left w:w="0" w:type="dxa"/>
            <w:bottom w:w="0" w:type="dxa"/>
            <w:right w:w="0" w:type="dxa"/>
          </w:tblCellMar>
        </w:tblPrEx>
        <w:trPr>
          <w:trHeight w:val="285" w:hRule="atLeast"/>
        </w:trPr>
        <w:tc>
          <w:tcPr>
            <w:tcW w:w="8725" w:type="dxa"/>
            <w:gridSpan w:val="3"/>
            <w:vMerge w:val="continue"/>
            <w:tcBorders>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3319"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308" w:hRule="atLeast"/>
        </w:trPr>
        <w:tc>
          <w:tcPr>
            <w:tcW w:w="5406"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9972"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Layout w:type="fixed"/>
          <w:tblCellMar>
            <w:top w:w="0" w:type="dxa"/>
            <w:left w:w="0" w:type="dxa"/>
            <w:bottom w:w="0" w:type="dxa"/>
            <w:right w:w="0" w:type="dxa"/>
          </w:tblCellMar>
        </w:tblPrEx>
        <w:trPr>
          <w:trHeight w:val="326" w:hRule="atLeast"/>
        </w:trPr>
        <w:tc>
          <w:tcPr>
            <w:tcW w:w="185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54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33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Layout w:type="fixed"/>
          <w:tblCellMar>
            <w:top w:w="0" w:type="dxa"/>
            <w:left w:w="0" w:type="dxa"/>
            <w:bottom w:w="0" w:type="dxa"/>
            <w:right w:w="0" w:type="dxa"/>
          </w:tblCellMar>
        </w:tblPrEx>
        <w:trPr>
          <w:trHeight w:val="326"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615"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08" w:hRule="atLeast"/>
        </w:trPr>
        <w:tc>
          <w:tcPr>
            <w:tcW w:w="5406"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1,442.01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979.79</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462.21</w:t>
            </w:r>
            <w:r>
              <w:rPr>
                <w:b/>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1,165.99</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703.77</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462.21</w:t>
            </w:r>
            <w:r>
              <w:rPr>
                <w:b/>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20113</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商贸事务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10.00</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10.00</w:t>
            </w:r>
            <w:r>
              <w:rPr>
                <w:b/>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2011302</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10.00</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10.00</w:t>
            </w: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20131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党委办公厅（室）及相关机构事务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1,155.99</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703.77</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452.21</w:t>
            </w:r>
            <w:r>
              <w:rPr>
                <w:b/>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2013101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行政运行</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703.77</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703.77</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2013102</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452.21</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452.21</w:t>
            </w: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178.31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178.31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178.31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178.31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68.90</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68.90</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34.45</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34.45</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74.96</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74.96</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38.85</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38.85</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38.85</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38.85</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行政单位医疗</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28.09</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28.09</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10.76</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10.76</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58.86</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58.86</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58.86</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58.86</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58.86</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58.86</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10"/>
        <w:tblW w:w="15360" w:type="dxa"/>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Layout w:type="fixed"/>
          <w:tblCellMar>
            <w:top w:w="0" w:type="dxa"/>
            <w:left w:w="0" w:type="dxa"/>
            <w:bottom w:w="0" w:type="dxa"/>
            <w:right w:w="0" w:type="dxa"/>
          </w:tblCellMar>
        </w:tblPrEx>
        <w:trPr>
          <w:trHeight w:val="90" w:hRule="atLeast"/>
        </w:trPr>
        <w:tc>
          <w:tcPr>
            <w:tcW w:w="15360" w:type="dxa"/>
            <w:gridSpan w:val="9"/>
            <w:tcBorders>
              <w:top w:val="nil"/>
              <w:left w:val="nil"/>
              <w:bottom w:val="nil"/>
              <w:right w:val="nil"/>
            </w:tcBorders>
            <w:shd w:val="clear" w:color="auto" w:fill="auto"/>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Layout w:type="fixed"/>
          <w:tblCellMar>
            <w:top w:w="0" w:type="dxa"/>
            <w:left w:w="0" w:type="dxa"/>
            <w:bottom w:w="0" w:type="dxa"/>
            <w:right w:w="0" w:type="dxa"/>
          </w:tblCellMar>
        </w:tblPrEx>
        <w:trPr>
          <w:trHeight w:val="90" w:hRule="atLeast"/>
        </w:trPr>
        <w:tc>
          <w:tcPr>
            <w:tcW w:w="5557" w:type="dxa"/>
            <w:gridSpan w:val="4"/>
            <w:vMerge w:val="restart"/>
            <w:tcBorders>
              <w:top w:val="nil"/>
              <w:left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中共忠县县委办公室（本级）</w:t>
            </w:r>
          </w:p>
        </w:tc>
        <w:tc>
          <w:tcPr>
            <w:tcW w:w="1923"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Layout w:type="fixed"/>
          <w:tblCellMar>
            <w:top w:w="0" w:type="dxa"/>
            <w:left w:w="0" w:type="dxa"/>
            <w:bottom w:w="0" w:type="dxa"/>
            <w:right w:w="0" w:type="dxa"/>
          </w:tblCellMar>
        </w:tblPrEx>
        <w:trPr>
          <w:trHeight w:val="90" w:hRule="atLeast"/>
        </w:trPr>
        <w:tc>
          <w:tcPr>
            <w:tcW w:w="5557" w:type="dxa"/>
            <w:gridSpan w:val="4"/>
            <w:vMerge w:val="continue"/>
            <w:tcBorders>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923"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90" w:hRule="atLeast"/>
        </w:trPr>
        <w:tc>
          <w:tcPr>
            <w:tcW w:w="4721" w:type="dxa"/>
            <w:gridSpan w:val="3"/>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10639" w:type="dxa"/>
            <w:gridSpan w:val="6"/>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Layout w:type="fixed"/>
          <w:tblCellMar>
            <w:top w:w="0" w:type="dxa"/>
            <w:left w:w="0" w:type="dxa"/>
            <w:bottom w:w="0" w:type="dxa"/>
            <w:right w:w="0" w:type="dxa"/>
          </w:tblCellMar>
        </w:tblPrEx>
        <w:trPr>
          <w:trHeight w:val="312" w:hRule="atLeast"/>
        </w:trPr>
        <w:tc>
          <w:tcPr>
            <w:tcW w:w="605"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274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37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9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65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08"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352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88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Layout w:type="fixed"/>
          <w:tblCellMar>
            <w:top w:w="0" w:type="dxa"/>
            <w:left w:w="0" w:type="dxa"/>
            <w:bottom w:w="0" w:type="dxa"/>
            <w:right w:w="0" w:type="dxa"/>
          </w:tblCellMar>
        </w:tblPrEx>
        <w:trPr>
          <w:trHeight w:val="312" w:hRule="atLeast"/>
        </w:trPr>
        <w:tc>
          <w:tcPr>
            <w:tcW w:w="605"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4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37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9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65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08"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52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88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742.78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132.04</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155.58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41.35</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118.91</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267.73</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0.46</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68.90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5.64</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34.45</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10.81</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28.09</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4.72</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4.87</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58.86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5.56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104.97</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3.37</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69.09</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0.93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22.81</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2.00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4.74</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9.16</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5.87</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17.63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30.43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2.65</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33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137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8</w:t>
            </w:r>
            <w:bookmarkStart w:id="0" w:name="_GoBack"/>
            <w:bookmarkEnd w:id="0"/>
            <w:r>
              <w:rPr>
                <w:rFonts w:cs="宋体"/>
                <w:color w:val="000000"/>
                <w:sz w:val="18"/>
                <w:szCs w:val="18"/>
              </w:rPr>
              <w:t>47.75</w:t>
            </w:r>
            <w:r>
              <w:rPr>
                <w:color w:val="000000"/>
                <w:sz w:val="18"/>
                <w:u w:color="auto"/>
              </w:rPr>
              <w:t xml:space="preserve"> </w:t>
            </w:r>
          </w:p>
        </w:tc>
        <w:tc>
          <w:tcPr>
            <w:tcW w:w="8750" w:type="dxa"/>
            <w:gridSpan w:val="5"/>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188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132.04</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10"/>
        <w:tblW w:w="15378" w:type="dxa"/>
        <w:tblInd w:w="0" w:type="dxa"/>
        <w:tblLayout w:type="fixed"/>
        <w:tblCellMar>
          <w:top w:w="0" w:type="dxa"/>
          <w:left w:w="0" w:type="dxa"/>
          <w:bottom w:w="0" w:type="dxa"/>
          <w:right w:w="0" w:type="dxa"/>
        </w:tblCellMar>
      </w:tblPr>
      <w:tblGrid>
        <w:gridCol w:w="1854"/>
        <w:gridCol w:w="3088"/>
        <w:gridCol w:w="1707"/>
        <w:gridCol w:w="1707"/>
        <w:gridCol w:w="1707"/>
        <w:gridCol w:w="1707"/>
        <w:gridCol w:w="1772"/>
        <w:gridCol w:w="1836"/>
      </w:tblGrid>
      <w:tr>
        <w:tblPrEx>
          <w:tblLayout w:type="fixed"/>
          <w:tblCellMar>
            <w:top w:w="0" w:type="dxa"/>
            <w:left w:w="0" w:type="dxa"/>
            <w:bottom w:w="0" w:type="dxa"/>
            <w:right w:w="0" w:type="dxa"/>
          </w:tblCellMar>
        </w:tblPrEx>
        <w:trPr>
          <w:trHeight w:val="644" w:hRule="atLeast"/>
        </w:trPr>
        <w:tc>
          <w:tcPr>
            <w:tcW w:w="15378" w:type="dxa"/>
            <w:gridSpan w:val="8"/>
            <w:tcBorders>
              <w:top w:val="nil"/>
              <w:left w:val="nil"/>
              <w:bottom w:val="nil"/>
              <w:right w:val="nil"/>
            </w:tcBorders>
            <w:shd w:val="clear" w:color="auto" w:fill="auto"/>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Layout w:type="fixed"/>
          <w:tblCellMar>
            <w:top w:w="0" w:type="dxa"/>
            <w:left w:w="0" w:type="dxa"/>
            <w:bottom w:w="0" w:type="dxa"/>
            <w:right w:w="0" w:type="dxa"/>
          </w:tblCellMar>
        </w:tblPrEx>
        <w:trPr>
          <w:trHeight w:val="329" w:hRule="atLeast"/>
        </w:trPr>
        <w:tc>
          <w:tcPr>
            <w:tcW w:w="6649" w:type="dxa"/>
            <w:gridSpan w:val="3"/>
            <w:vMerge w:val="restart"/>
            <w:tcBorders>
              <w:top w:val="nil"/>
              <w:left w:val="nil"/>
              <w:right w:val="nil"/>
            </w:tcBorders>
            <w:shd w:val="clear" w:color="auto" w:fill="auto"/>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中共忠县县委办公室（本级）</w:t>
            </w:r>
          </w:p>
        </w:tc>
        <w:tc>
          <w:tcPr>
            <w:tcW w:w="17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Layout w:type="fixed"/>
          <w:tblCellMar>
            <w:top w:w="0" w:type="dxa"/>
            <w:left w:w="0" w:type="dxa"/>
            <w:bottom w:w="0" w:type="dxa"/>
            <w:right w:w="0" w:type="dxa"/>
          </w:tblCellMar>
        </w:tblPrEx>
        <w:trPr>
          <w:trHeight w:val="329" w:hRule="atLeast"/>
        </w:trPr>
        <w:tc>
          <w:tcPr>
            <w:tcW w:w="6649" w:type="dxa"/>
            <w:gridSpan w:val="3"/>
            <w:vMerge w:val="continue"/>
            <w:tcBorders>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339"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1707"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17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5186"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18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Layout w:type="fixed"/>
          <w:tblCellMar>
            <w:top w:w="0" w:type="dxa"/>
            <w:left w:w="0" w:type="dxa"/>
            <w:bottom w:w="0" w:type="dxa"/>
            <w:right w:w="0" w:type="dxa"/>
          </w:tblCellMar>
        </w:tblPrEx>
        <w:trPr>
          <w:trHeight w:val="335" w:hRule="atLeast"/>
        </w:trPr>
        <w:tc>
          <w:tcPr>
            <w:tcW w:w="185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8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7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64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9" w:hRule="atLeast"/>
        </w:trPr>
        <w:tc>
          <w:tcPr>
            <w:tcW w:w="4942"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7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8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10"/>
        <w:tblW w:w="15378" w:type="dxa"/>
        <w:tblInd w:w="0" w:type="dxa"/>
        <w:tblLayout w:type="fixed"/>
        <w:tblCellMar>
          <w:top w:w="0" w:type="dxa"/>
          <w:left w:w="0" w:type="dxa"/>
          <w:bottom w:w="0" w:type="dxa"/>
          <w:right w:w="0" w:type="dxa"/>
        </w:tblCellMar>
      </w:tblPr>
      <w:tblGrid>
        <w:gridCol w:w="1882"/>
        <w:gridCol w:w="3060"/>
        <w:gridCol w:w="3276"/>
        <w:gridCol w:w="200"/>
        <w:gridCol w:w="3475"/>
        <w:gridCol w:w="77"/>
        <w:gridCol w:w="3408"/>
      </w:tblGrid>
      <w:tr>
        <w:tblPrEx>
          <w:tblLayout w:type="fixed"/>
          <w:tblCellMar>
            <w:top w:w="0" w:type="dxa"/>
            <w:left w:w="0" w:type="dxa"/>
            <w:bottom w:w="0" w:type="dxa"/>
            <w:right w:w="0" w:type="dxa"/>
          </w:tblCellMar>
        </w:tblPrEx>
        <w:trPr>
          <w:trHeight w:val="650" w:hRule="atLeast"/>
        </w:trPr>
        <w:tc>
          <w:tcPr>
            <w:tcW w:w="15378" w:type="dxa"/>
            <w:gridSpan w:val="7"/>
            <w:tcBorders>
              <w:top w:val="nil"/>
              <w:left w:val="nil"/>
              <w:bottom w:val="nil"/>
              <w:right w:val="nil"/>
            </w:tcBorders>
            <w:shd w:val="clear" w:color="auto" w:fill="auto"/>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Layout w:type="fixed"/>
          <w:tblCellMar>
            <w:top w:w="0" w:type="dxa"/>
            <w:left w:w="0" w:type="dxa"/>
            <w:bottom w:w="0" w:type="dxa"/>
            <w:right w:w="0" w:type="dxa"/>
          </w:tblCellMar>
        </w:tblPrEx>
        <w:trPr>
          <w:trHeight w:val="332" w:hRule="atLeast"/>
        </w:trPr>
        <w:tc>
          <w:tcPr>
            <w:tcW w:w="8218" w:type="dxa"/>
            <w:gridSpan w:val="3"/>
            <w:vMerge w:val="restart"/>
            <w:tcBorders>
              <w:top w:val="nil"/>
              <w:left w:val="nil"/>
              <w:right w:val="nil"/>
            </w:tcBorders>
            <w:shd w:val="clear" w:color="auto" w:fill="auto"/>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中共忠县县委办公室（本级）</w:t>
            </w:r>
          </w:p>
        </w:tc>
        <w:tc>
          <w:tcPr>
            <w:tcW w:w="3752" w:type="dxa"/>
            <w:gridSpan w:val="3"/>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Layout w:type="fixed"/>
          <w:tblCellMar>
            <w:top w:w="0" w:type="dxa"/>
            <w:left w:w="0" w:type="dxa"/>
            <w:bottom w:w="0" w:type="dxa"/>
            <w:right w:w="0" w:type="dxa"/>
          </w:tblCellMar>
        </w:tblPrEx>
        <w:trPr>
          <w:trHeight w:val="332" w:hRule="atLeast"/>
        </w:trPr>
        <w:tc>
          <w:tcPr>
            <w:tcW w:w="8218" w:type="dxa"/>
            <w:gridSpan w:val="3"/>
            <w:vMerge w:val="continue"/>
            <w:tcBorders>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3752" w:type="dxa"/>
            <w:gridSpan w:val="3"/>
            <w:tcBorders>
              <w:top w:val="nil"/>
              <w:left w:val="nil"/>
              <w:bottom w:val="nil"/>
              <w:right w:val="nil"/>
            </w:tcBorders>
            <w:shd w:val="clear" w:color="auto" w:fill="auto"/>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422"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0436" w:type="dxa"/>
            <w:gridSpan w:val="5"/>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Layout w:type="fixed"/>
          <w:tblCellMar>
            <w:top w:w="0" w:type="dxa"/>
            <w:left w:w="0" w:type="dxa"/>
            <w:bottom w:w="0" w:type="dxa"/>
            <w:right w:w="0" w:type="dxa"/>
          </w:tblCellMar>
        </w:tblPrEx>
        <w:trPr>
          <w:trHeight w:val="339" w:hRule="atLeast"/>
        </w:trPr>
        <w:tc>
          <w:tcPr>
            <w:tcW w:w="188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3476"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485"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Layout w:type="fixed"/>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26"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611"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347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right"/>
              <w:rPr>
                <w:rFonts w:hint="default" w:cs="宋体"/>
                <w:b/>
                <w:color w:val="000000"/>
                <w:sz w:val="20"/>
                <w:szCs w:val="20"/>
              </w:rPr>
            </w:pPr>
          </w:p>
        </w:tc>
        <w:tc>
          <w:tcPr>
            <w:tcW w:w="348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10"/>
        <w:tblW w:w="15000" w:type="dxa"/>
        <w:tblInd w:w="0" w:type="dxa"/>
        <w:tblLayout w:type="fixed"/>
        <w:tblCellMar>
          <w:top w:w="0" w:type="dxa"/>
          <w:left w:w="170" w:type="dxa"/>
          <w:bottom w:w="0" w:type="dxa"/>
          <w:right w:w="170" w:type="dxa"/>
        </w:tblCellMar>
      </w:tblPr>
      <w:tblGrid>
        <w:gridCol w:w="4041"/>
        <w:gridCol w:w="2166"/>
        <w:gridCol w:w="2115"/>
        <w:gridCol w:w="4524"/>
        <w:gridCol w:w="2154"/>
      </w:tblGrid>
      <w:tr>
        <w:tblPrEx>
          <w:tblLayout w:type="fixed"/>
          <w:tblCellMar>
            <w:top w:w="0" w:type="dxa"/>
            <w:left w:w="170" w:type="dxa"/>
            <w:bottom w:w="0" w:type="dxa"/>
            <w:right w:w="170" w:type="dxa"/>
          </w:tblCellMar>
        </w:tblPrEx>
        <w:trPr>
          <w:trHeight w:val="343" w:hRule="atLeast"/>
        </w:trPr>
        <w:tc>
          <w:tcPr>
            <w:tcW w:w="15000" w:type="dxa"/>
            <w:gridSpan w:val="5"/>
            <w:tcBorders>
              <w:top w:val="nil"/>
              <w:left w:val="nil"/>
              <w:bottom w:val="nil"/>
              <w:right w:val="nil"/>
            </w:tcBorders>
            <w:shd w:val="clear" w:color="auto" w:fill="auto"/>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Layout w:type="fixed"/>
          <w:tblCellMar>
            <w:top w:w="0" w:type="dxa"/>
            <w:left w:w="170" w:type="dxa"/>
            <w:bottom w:w="0" w:type="dxa"/>
            <w:right w:w="170" w:type="dxa"/>
          </w:tblCellMar>
        </w:tblPrEx>
        <w:trPr>
          <w:trHeight w:val="244" w:hRule="atLeast"/>
        </w:trPr>
        <w:tc>
          <w:tcPr>
            <w:tcW w:w="4041" w:type="dxa"/>
            <w:tcBorders>
              <w:top w:val="nil"/>
              <w:left w:val="nil"/>
              <w:bottom w:val="nil"/>
              <w:right w:val="nil"/>
            </w:tcBorders>
            <w:shd w:val="clear" w:color="auto" w:fill="auto"/>
            <w:tcMar>
              <w:top w:w="15" w:type="dxa"/>
              <w:left w:w="15" w:type="dxa"/>
              <w:right w:w="15" w:type="dxa"/>
            </w:tcMar>
            <w:vAlign w:val="bottom"/>
          </w:tcPr>
          <w:p>
            <w:pPr>
              <w:spacing w:line="280" w:lineRule="exact"/>
              <w:rPr>
                <w:rFonts w:hint="default" w:cs="宋体"/>
                <w:color w:val="000000"/>
                <w:sz w:val="20"/>
                <w:szCs w:val="20"/>
              </w:rPr>
            </w:pPr>
          </w:p>
        </w:tc>
        <w:tc>
          <w:tcPr>
            <w:tcW w:w="2166" w:type="dxa"/>
            <w:tcBorders>
              <w:top w:val="nil"/>
              <w:left w:val="nil"/>
              <w:bottom w:val="nil"/>
              <w:right w:val="nil"/>
            </w:tcBorders>
            <w:shd w:val="clear" w:color="auto" w:fill="auto"/>
            <w:tcMar>
              <w:top w:w="15" w:type="dxa"/>
              <w:left w:w="15" w:type="dxa"/>
              <w:right w:w="15" w:type="dxa"/>
            </w:tcMar>
            <w:vAlign w:val="bottom"/>
          </w:tcPr>
          <w:p>
            <w:pPr>
              <w:spacing w:line="280" w:lineRule="exact"/>
              <w:jc w:val="center"/>
              <w:rPr>
                <w:rFonts w:hint="default" w:cs="宋体"/>
                <w:color w:val="000000"/>
                <w:sz w:val="20"/>
                <w:szCs w:val="20"/>
              </w:rPr>
            </w:pPr>
          </w:p>
        </w:tc>
        <w:tc>
          <w:tcPr>
            <w:tcW w:w="2115" w:type="dxa"/>
            <w:tcBorders>
              <w:top w:val="nil"/>
              <w:left w:val="nil"/>
              <w:bottom w:val="nil"/>
              <w:right w:val="nil"/>
            </w:tcBorders>
            <w:shd w:val="clear" w:color="auto" w:fill="auto"/>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nil"/>
              <w:right w:val="nil"/>
            </w:tcBorders>
            <w:shd w:val="clear" w:color="auto" w:fill="auto"/>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nil"/>
              <w:right w:val="nil"/>
            </w:tcBorders>
            <w:shd w:val="clear" w:color="auto" w:fill="auto"/>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Layout w:type="fixed"/>
          <w:tblCellMar>
            <w:top w:w="0" w:type="dxa"/>
            <w:left w:w="170" w:type="dxa"/>
            <w:bottom w:w="0" w:type="dxa"/>
            <w:right w:w="170" w:type="dxa"/>
          </w:tblCellMar>
        </w:tblPrEx>
        <w:trPr>
          <w:trHeight w:val="244" w:hRule="atLeast"/>
        </w:trPr>
        <w:tc>
          <w:tcPr>
            <w:tcW w:w="6207" w:type="dxa"/>
            <w:gridSpan w:val="2"/>
            <w:tcBorders>
              <w:top w:val="nil"/>
              <w:left w:val="nil"/>
              <w:bottom w:val="single" w:color="auto" w:sz="4" w:space="0"/>
              <w:right w:val="nil"/>
            </w:tcBorders>
            <w:shd w:val="clear" w:color="auto" w:fill="auto"/>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中共忠县县委办公室（本级）</w:t>
            </w:r>
          </w:p>
        </w:tc>
        <w:tc>
          <w:tcPr>
            <w:tcW w:w="2115" w:type="dxa"/>
            <w:tcBorders>
              <w:top w:val="nil"/>
              <w:left w:val="nil"/>
              <w:bottom w:val="single" w:color="auto" w:sz="4" w:space="0"/>
              <w:right w:val="nil"/>
            </w:tcBorders>
            <w:shd w:val="clear" w:color="auto" w:fill="auto"/>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single" w:color="auto" w:sz="4" w:space="0"/>
              <w:right w:val="nil"/>
            </w:tcBorders>
            <w:shd w:val="clear" w:color="auto" w:fill="auto"/>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single" w:color="auto" w:sz="4" w:space="0"/>
              <w:right w:val="nil"/>
            </w:tcBorders>
            <w:shd w:val="clear" w:color="auto" w:fill="auto"/>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66"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2115"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5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Layout w:type="fixed"/>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132.04</w:t>
            </w: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22.75</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22.75</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132.04</w:t>
            </w: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17.91</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17.91</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7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17.91</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17.91</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4.84</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4.84</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4.84</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w:t>
            </w: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6</w:t>
            </w: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7</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102</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520</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86"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19.35</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rPr>
                <w:rFonts w:hint="default" w:cs="宋体"/>
                <w:color w:val="000000"/>
                <w:sz w:val="16"/>
                <w:szCs w:val="16"/>
              </w:rPr>
            </w:pPr>
          </w:p>
        </w:tc>
      </w:tr>
      <w:tr>
        <w:tblPrEx>
          <w:tblLayout w:type="fixed"/>
          <w:tblCellMar>
            <w:top w:w="0" w:type="dxa"/>
            <w:left w:w="170" w:type="dxa"/>
            <w:bottom w:w="0" w:type="dxa"/>
            <w:right w:w="170" w:type="dxa"/>
          </w:tblCellMar>
        </w:tblPrEx>
        <w:trPr>
          <w:trHeight w:val="389"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中倩_GBK">
    <w:panose1 w:val="03000509000000000000"/>
    <w:charset w:val="86"/>
    <w:family w:val="auto"/>
    <w:pitch w:val="default"/>
    <w:sig w:usb0="00000001" w:usb1="080E0000" w:usb2="00000000" w:usb3="00000000" w:csb0="00040000" w:csb1="00000000"/>
  </w:font>
  <w:font w:name="方正中等线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准圆_GBK">
    <w:panose1 w:val="03000509000000000000"/>
    <w:charset w:val="86"/>
    <w:family w:val="auto"/>
    <w:pitch w:val="default"/>
    <w:sig w:usb0="00000001" w:usb1="080E0000" w:usb2="00000000" w:usb3="00000000" w:csb0="00040000" w:csb1="00000000"/>
  </w:font>
  <w:font w:name="方正华隶_GBK">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方正大黑_GBK">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姚体_GBK">
    <w:panose1 w:val="03000509000000000000"/>
    <w:charset w:val="86"/>
    <w:family w:val="auto"/>
    <w:pitch w:val="default"/>
    <w:sig w:usb0="00000001" w:usb1="080E0000" w:usb2="00000000" w:usb3="00000000" w:csb0="00040000" w:csb1="00000000"/>
  </w:font>
  <w:font w:name="方正宋一_GBK">
    <w:panose1 w:val="03000509000000000000"/>
    <w:charset w:val="86"/>
    <w:family w:val="auto"/>
    <w:pitch w:val="default"/>
    <w:sig w:usb0="00000001" w:usb1="080E0000" w:usb2="00000000" w:usb3="00000000" w:csb0="00040000" w:csb1="00000000"/>
  </w:font>
  <w:font w:name="方正宋三_GBK">
    <w:panose1 w:val="03000509000000000000"/>
    <w:charset w:val="86"/>
    <w:family w:val="auto"/>
    <w:pitch w:val="default"/>
    <w:sig w:usb0="00000001" w:usb1="080E0000" w:usb2="00000000" w:usb3="00000000" w:csb0="00040000" w:csb1="00000000"/>
  </w:font>
  <w:font w:name="方正宋黑_GBK">
    <w:panose1 w:val="03000509000000000000"/>
    <w:charset w:val="86"/>
    <w:family w:val="auto"/>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少儿_GBK">
    <w:panose1 w:val="03000509000000000000"/>
    <w:charset w:val="86"/>
    <w:family w:val="auto"/>
    <w:pitch w:val="default"/>
    <w:sig w:usb0="00000001" w:usb1="080E0000" w:usb2="00000000" w:usb3="00000000" w:csb0="00040000" w:csb1="00000000"/>
  </w:font>
  <w:font w:name="方正康体_GBK">
    <w:panose1 w:val="03000509000000000000"/>
    <w:charset w:val="86"/>
    <w:family w:val="auto"/>
    <w:pitch w:val="default"/>
    <w:sig w:usb0="00000001" w:usb1="080E0000" w:usb2="00000000" w:usb3="00000000" w:csb0="00040000" w:csb1="00000000"/>
  </w:font>
  <w:font w:name="方正报宋_GBK">
    <w:panose1 w:val="03000509000000000000"/>
    <w:charset w:val="86"/>
    <w:family w:val="auto"/>
    <w:pitch w:val="default"/>
    <w:sig w:usb0="00000001" w:usb1="080E0000" w:usb2="00000000" w:usb3="00000000" w:csb0="00040000" w:csb1="00000000"/>
  </w:font>
  <w:font w:name="方正琥珀_GBK">
    <w:panose1 w:val="03000509000000000000"/>
    <w:charset w:val="86"/>
    <w:family w:val="auto"/>
    <w:pitch w:val="default"/>
    <w:sig w:usb0="00000001" w:usb1="080E0000" w:usb2="00000000" w:usb3="00000000" w:csb0="00040000" w:csb1="00000000"/>
  </w:font>
  <w:font w:name="方正瘦金书_GBK">
    <w:panose1 w:val="03000509000000000000"/>
    <w:charset w:val="86"/>
    <w:family w:val="auto"/>
    <w:pitch w:val="default"/>
    <w:sig w:usb0="00000001" w:usb1="080E0000" w:usb2="00000000" w:usb3="00000000" w:csb0="00040000" w:csb1="00000000"/>
  </w:font>
  <w:font w:name="方正细倩_GBK">
    <w:panose1 w:val="03000509000000000000"/>
    <w:charset w:val="86"/>
    <w:family w:val="auto"/>
    <w:pitch w:val="default"/>
    <w:sig w:usb0="00000001" w:usb1="080E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隶二_GBK">
    <w:panose1 w:val="03000509000000000000"/>
    <w:charset w:val="86"/>
    <w:family w:val="auto"/>
    <w:pitch w:val="default"/>
    <w:sig w:usb0="00000001" w:usb1="080E0000" w:usb2="00000000" w:usb3="00000000" w:csb0="00040000" w:csb1="00000000"/>
  </w:font>
  <w:font w:name="方正隶变_GBK">
    <w:panose1 w:val="03000509000000000000"/>
    <w:charset w:val="86"/>
    <w:family w:val="auto"/>
    <w:pitch w:val="default"/>
    <w:sig w:usb0="00000001" w:usb1="080E0000" w:usb2="00000000" w:usb3="00000000" w:csb0="00040000" w:csb1="00000000"/>
  </w:font>
  <w:font w:name="方正胖娃_GBK">
    <w:panose1 w:val="03000509000000000000"/>
    <w:charset w:val="86"/>
    <w:family w:val="auto"/>
    <w:pitch w:val="default"/>
    <w:sig w:usb0="00000001" w:usb1="080E0000" w:usb2="00000000" w:usb3="00000000" w:csb0="00040000" w:csb1="00000000"/>
  </w:font>
  <w:font w:name="方正美黑_GBK">
    <w:panose1 w:val="03000509000000000000"/>
    <w:charset w:val="86"/>
    <w:family w:val="auto"/>
    <w:pitch w:val="default"/>
    <w:sig w:usb0="00000001" w:usb1="080E0000" w:usb2="00000000" w:usb3="00000000" w:csb0="00040000" w:csb1="00000000"/>
  </w:font>
  <w:font w:name="方正综艺_GBK">
    <w:panose1 w:val="03000509000000000000"/>
    <w:charset w:val="86"/>
    <w:family w:val="auto"/>
    <w:pitch w:val="default"/>
    <w:sig w:usb0="00000001" w:usb1="080E0000" w:usb2="00000000" w:usb3="00000000" w:csb0="00040000" w:csb1="00000000"/>
  </w:font>
  <w:font w:name="方正细等线_GBK">
    <w:panose1 w:val="03000509000000000000"/>
    <w:charset w:val="86"/>
    <w:family w:val="auto"/>
    <w:pitch w:val="default"/>
    <w:sig w:usb0="00000001" w:usb1="080E0000" w:usb2="00000000" w:usb3="00000000" w:csb0="00040000" w:csb1="00000000"/>
  </w:font>
  <w:font w:name="方正细珊瑚_GBK">
    <w:panose1 w:val="03000509000000000000"/>
    <w:charset w:val="86"/>
    <w:family w:val="auto"/>
    <w:pitch w:val="default"/>
    <w:sig w:usb0="00000001" w:usb1="080E0000" w:usb2="00000000" w:usb3="00000000" w:csb0="00040000" w:csb1="00000000"/>
  </w:font>
  <w:font w:name="方正细圆_GBK">
    <w:panose1 w:val="03000509000000000000"/>
    <w:charset w:val="86"/>
    <w:family w:val="auto"/>
    <w:pitch w:val="default"/>
    <w:sig w:usb0="00000001" w:usb1="080E0000" w:usb2="00000000" w:usb3="00000000" w:csb0="00040000" w:csb1="00000000"/>
  </w:font>
  <w:font w:name="方正粗宋_GBK">
    <w:panose1 w:val="03000509000000000000"/>
    <w:charset w:val="86"/>
    <w:family w:val="auto"/>
    <w:pitch w:val="default"/>
    <w:sig w:usb0="00000001"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平和_GBK">
    <w:panose1 w:val="03000509000000000000"/>
    <w:charset w:val="86"/>
    <w:family w:val="auto"/>
    <w:pitch w:val="default"/>
    <w:sig w:usb0="00000001" w:usb1="080E0000" w:usb2="00000000" w:usb3="00000000" w:csb0="00040000" w:csb1="00000000"/>
  </w:font>
  <w:font w:name="方正幼线_GBK">
    <w:panose1 w:val="03000509000000000000"/>
    <w:charset w:val="86"/>
    <w:family w:val="auto"/>
    <w:pitch w:val="default"/>
    <w:sig w:usb0="00000001" w:usb1="080E0000" w:usb2="00000000" w:usb3="00000000" w:csb0="00040000" w:csb1="00000000"/>
  </w:font>
  <w:font w:name="方正彩云_GBK">
    <w:panose1 w:val="03000509000000000000"/>
    <w:charset w:val="86"/>
    <w:family w:val="auto"/>
    <w:pitch w:val="default"/>
    <w:sig w:usb0="00000001" w:usb1="080E0000" w:usb2="00000000" w:usb3="00000000" w:csb0="00040000" w:csb1="00000000"/>
  </w:font>
  <w:font w:name="方正新报宋_GBK">
    <w:panose1 w:val="03000509000000000000"/>
    <w:charset w:val="86"/>
    <w:family w:val="auto"/>
    <w:pitch w:val="default"/>
    <w:sig w:usb0="00000001" w:usb1="080E0000" w:usb2="00000000" w:usb3="00000000" w:csb0="00040000" w:csb1="00000000"/>
  </w:font>
  <w:font w:name="方正新舒体_GBK">
    <w:panose1 w:val="03000509000000000000"/>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rPr>
    </w:pPr>
    <w:r>
      <w:rPr>
        <w:rFonts w:hint="default"/>
      </w:rPr>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4"/>
                  <w:rPr>
                    <w:rFonts w:hint="default"/>
                    <w:sz w:val="24"/>
                    <w:szCs w:val="24"/>
                  </w:rPr>
                </w:pPr>
                <w:r>
                  <w:rPr>
                    <w:sz w:val="24"/>
                    <w:szCs w:val="24"/>
                  </w:rPr>
                  <w:fldChar w:fldCharType="begin"/>
                </w:r>
                <w:r>
                  <w:rPr>
                    <w:sz w:val="24"/>
                    <w:szCs w:val="24"/>
                  </w:rPr>
                  <w:instrText xml:space="preserve"> PAGE  \* MERGEFORMAT </w:instrText>
                </w:r>
                <w:r>
                  <w:rPr>
                    <w:sz w:val="24"/>
                    <w:szCs w:val="24"/>
                  </w:rPr>
                  <w:fldChar w:fldCharType="separate"/>
                </w:r>
                <w:r>
                  <w:rPr>
                    <w:rFonts w:hint="default"/>
                    <w:sz w:val="24"/>
                    <w:szCs w:val="24"/>
                  </w:rPr>
                  <w:t>- 4 -</w:t>
                </w:r>
                <w:r>
                  <w:rPr>
                    <w:sz w:val="24"/>
                    <w:szCs w:val="24"/>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Fonts w:hint="default"/>
      </w:rPr>
    </w:pPr>
    <w:r>
      <w:rPr>
        <w:rFonts w:hint="default"/>
      </w:rPr>
      <w:pict>
        <v:shape id="_x0000_s1028" o:spid="_x0000_s1028" o:spt="202" type="#_x0000_t202" style="position:absolute;left:0pt;margin-top:0pt;height:144pt;width:144pt;mso-position-horizontal:outside;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4"/>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4"/>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1D3BB7"/>
    <w:rsid w:val="00293ECA"/>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9D0005"/>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6784F72"/>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40524D"/>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001725"/>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416167"/>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403B4"/>
    <w:rsid w:val="56FF7E9E"/>
    <w:rsid w:val="578867FC"/>
    <w:rsid w:val="5842572D"/>
    <w:rsid w:val="5A3B59D6"/>
    <w:rsid w:val="5AD134D8"/>
    <w:rsid w:val="5C263CE4"/>
    <w:rsid w:val="5C5D2777"/>
    <w:rsid w:val="5CF66BF3"/>
    <w:rsid w:val="5D290C69"/>
    <w:rsid w:val="5EA23A2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010F07"/>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8BE7BAA"/>
    <w:rsid w:val="79396082"/>
    <w:rsid w:val="796D60A4"/>
    <w:rsid w:val="797B71BC"/>
    <w:rsid w:val="79A031D5"/>
    <w:rsid w:val="7A1525F7"/>
    <w:rsid w:val="7B363F45"/>
    <w:rsid w:val="7B420052"/>
    <w:rsid w:val="7BD06A28"/>
    <w:rsid w:val="7C3A7C0B"/>
    <w:rsid w:val="7C5248E4"/>
    <w:rsid w:val="7C566698"/>
    <w:rsid w:val="7C5866A3"/>
    <w:rsid w:val="7D7406BB"/>
    <w:rsid w:val="7DE94331"/>
    <w:rsid w:val="7F446A19"/>
    <w:rsid w:val="7F7452B9"/>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rPr>
      <w:rFonts w:hint="eastAsia" w:ascii="宋体" w:hAnsi="宋体" w:eastAsia="宋体" w:cs="Times New Roman"/>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6"/>
    <w:qFormat/>
    <w:uiPriority w:val="0"/>
    <w:rPr>
      <w:sz w:val="18"/>
      <w:szCs w:val="18"/>
    </w:rPr>
  </w:style>
  <w:style w:type="paragraph" w:styleId="4">
    <w:name w:val="footer"/>
    <w:basedOn w:val="1"/>
    <w:qFormat/>
    <w:uiPriority w:val="0"/>
    <w:pPr>
      <w:tabs>
        <w:tab w:val="center" w:pos="4153"/>
        <w:tab w:val="right" w:pos="8306"/>
      </w:tabs>
      <w:snapToGrid w:val="0"/>
    </w:pPr>
    <w:rPr>
      <w:sz w:val="18"/>
      <w:szCs w:val="18"/>
    </w:rPr>
  </w:style>
  <w:style w:type="paragraph" w:styleId="5">
    <w:name w:val="header"/>
    <w:basedOn w:val="1"/>
    <w:qFormat/>
    <w:uiPriority w:val="0"/>
    <w:pP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7">
    <w:name w:val="Normal (Web)"/>
    <w:basedOn w:val="1"/>
    <w:unhideWhenUsed/>
    <w:qFormat/>
    <w:uiPriority w:val="0"/>
    <w:pPr>
      <w:spacing w:before="100" w:beforeAutospacing="1" w:after="100" w:afterAutospacing="1"/>
    </w:pPr>
  </w:style>
  <w:style w:type="character" w:styleId="9">
    <w:name w:val="Strong"/>
    <w:qFormat/>
    <w:uiPriority w:val="0"/>
    <w:rPr>
      <w:b/>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列出段落1"/>
    <w:basedOn w:val="1"/>
    <w:qFormat/>
    <w:uiPriority w:val="99"/>
    <w:pPr>
      <w:ind w:firstLine="420" w:firstLineChars="200"/>
    </w:pPr>
    <w:rPr>
      <w:rFonts w:hint="default"/>
    </w:rPr>
  </w:style>
  <w:style w:type="paragraph" w:customStyle="1" w:styleId="13">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4">
    <w:name w:val="21"/>
    <w:qFormat/>
    <w:uiPriority w:val="0"/>
    <w:rPr>
      <w:rFonts w:hint="default" w:ascii="Wingdings" w:hAnsi="Wingdings" w:cs="Wingdings"/>
      <w:b/>
      <w:bCs/>
    </w:rPr>
  </w:style>
  <w:style w:type="paragraph" w:customStyle="1" w:styleId="15">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6">
    <w:name w:val="批注框文本 Char"/>
    <w:basedOn w:val="8"/>
    <w:link w:val="3"/>
    <w:qFormat/>
    <w:uiPriority w:val="0"/>
    <w:rPr>
      <w:rFonts w:ascii="宋体" w:hAnsi="宋体"/>
      <w:sz w:val="18"/>
      <w:szCs w:val="18"/>
    </w:rPr>
  </w:style>
  <w:style w:type="character" w:customStyle="1" w:styleId="17">
    <w:name w:val="15"/>
    <w:basedOn w:val="8"/>
    <w:qFormat/>
    <w:uiPriority w:val="0"/>
    <w:rPr>
      <w:rFonts w:hint="default" w:ascii="Times New Roman" w:hAnsi="Times New Roman" w:cs="Times New Roman"/>
      <w:b/>
    </w:rPr>
  </w:style>
  <w:style w:type="paragraph" w:customStyle="1" w:styleId="18">
    <w:name w:val="公文三级"/>
    <w:basedOn w:val="1"/>
    <w:qFormat/>
    <w:uiPriority w:val="0"/>
    <w:pPr>
      <w:spacing w:line="594" w:lineRule="exact"/>
      <w:ind w:firstLine="640" w:firstLineChars="200"/>
    </w:pPr>
    <w:rPr>
      <w:rFonts w:hint="eastAsia" w:ascii="Times New Roman" w:hAnsi="Times New Roman" w:eastAsia="方正仿宋_GBK" w:cs="Times New Roman"/>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ScaleCrop>false</ScaleCrop>
  <LinksUpToDate>false</LinksUpToDate>
  <CharactersWithSpaces>26759</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2024-10-25T07:40:17Z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y fmtid="{D5CDD505-2E9C-101B-9397-08002B2CF9AE}" pid="3" name="ICV">
    <vt:lpwstr>BB46EABDBB2749749395447164B066B3_12</vt:lpwstr>
  </property>
</Properties>
</file>