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重庆市忠县官坝镇劳动就业和社会保障服务所</w:t>
      </w:r>
      <w:r>
        <w:rPr>
          <w:rFonts w:ascii="方正小标宋_GBK" w:hAnsi="方正小标宋_GBK" w:eastAsia="方正小标宋_GBK" w:cs="方正小标宋_GBK"/>
          <w:sz w:val="36"/>
          <w:szCs w:val="36"/>
          <w:shd w:val="clear" w:color="auto" w:fill="FFFFFF"/>
        </w:rPr>
        <w:t>2023年度决算公开说明</w:t>
      </w:r>
    </w:p>
    <w:p>
      <w:pPr>
        <w:pStyle w:val="6"/>
        <w:shd w:val="clear" w:color="auto" w:fill="FFFFFF"/>
        <w:rPr>
          <w:rFonts w:hint="default" w:ascii="黑体" w:hAnsi="黑体" w:eastAsia="黑体" w:cs="黑体"/>
          <w:sz w:val="32"/>
          <w:szCs w:val="32"/>
        </w:rPr>
      </w:pPr>
      <w:r>
        <w:rPr>
          <w:rStyle w:val="10"/>
          <w:rFonts w:ascii="黑体" w:hAnsi="黑体" w:eastAsia="黑体" w:cs="黑体"/>
          <w:sz w:val="32"/>
          <w:szCs w:val="32"/>
          <w:shd w:val="clear" w:color="auto" w:fill="FFFFFF"/>
        </w:rPr>
        <w:t>一、单位基本情况</w:t>
      </w:r>
    </w:p>
    <w:p>
      <w:pPr>
        <w:pStyle w:val="6"/>
        <w:shd w:val="clear" w:color="auto" w:fill="FFFFFF"/>
        <w:ind w:firstLine="420"/>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（一）职能职责</w:t>
      </w:r>
    </w:p>
    <w:p>
      <w:pPr>
        <w:pStyle w:val="6"/>
        <w:shd w:val="clear" w:color="auto" w:fill="FFFFFF"/>
        <w:ind w:firstLine="42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w:t>
      </w:r>
      <w:r>
        <w:rPr>
          <w:rFonts w:hint="eastAsia" w:ascii="方正仿宋_GBK" w:hAnsi="方正仿宋_GBK" w:eastAsia="方正仿宋_GBK" w:cs="方正仿宋_GBK"/>
          <w:sz w:val="32"/>
          <w:szCs w:val="32"/>
          <w:lang w:val="en-US" w:eastAsia="zh-CN"/>
        </w:rPr>
        <w:t xml:space="preserve"> </w:t>
      </w:r>
      <w:bookmarkStart w:id="0" w:name="_GoBack"/>
      <w:bookmarkEnd w:id="0"/>
      <w:r>
        <w:rPr>
          <w:rFonts w:hint="eastAsia" w:ascii="方正仿宋_GBK" w:hAnsi="方正仿宋_GBK" w:eastAsia="方正仿宋_GBK" w:cs="方正仿宋_GBK"/>
          <w:sz w:val="32"/>
          <w:szCs w:val="32"/>
        </w:rPr>
        <w:t>忠县官坝镇社会保障服务所主要负责全镇社会保障、就业、养老服务等工作。</w:t>
      </w:r>
    </w:p>
    <w:p>
      <w:pPr>
        <w:pStyle w:val="6"/>
        <w:shd w:val="clear" w:color="auto" w:fill="FFFFFF"/>
        <w:ind w:firstLine="420"/>
        <w:rPr>
          <w:rFonts w:hint="default" w:ascii="楷体" w:hAnsi="楷体" w:eastAsia="楷体" w:cs="楷体"/>
          <w:sz w:val="32"/>
          <w:szCs w:val="32"/>
        </w:rPr>
      </w:pPr>
      <w:r>
        <w:rPr>
          <w:rStyle w:val="10"/>
          <w:rFonts w:ascii="楷体" w:hAnsi="楷体" w:eastAsia="楷体" w:cs="楷体"/>
          <w:sz w:val="32"/>
          <w:szCs w:val="32"/>
          <w:shd w:val="clear" w:color="auto" w:fill="FFFFFF"/>
        </w:rPr>
        <w:t>（二）机构设置</w:t>
      </w:r>
    </w:p>
    <w:p>
      <w:pPr>
        <w:pStyle w:val="6"/>
        <w:shd w:val="clear" w:color="auto" w:fill="FFFFFF"/>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本单位无下级机构设置。</w:t>
      </w:r>
    </w:p>
    <w:p>
      <w:pPr>
        <w:pStyle w:val="6"/>
        <w:shd w:val="clear" w:color="auto" w:fill="FFFFFF"/>
        <w:rPr>
          <w:rFonts w:hint="default" w:ascii="方正仿宋_GBK" w:hAnsi="方正仿宋_GBK" w:eastAsia="方正仿宋_GBK" w:cs="方正仿宋_GBK"/>
          <w:sz w:val="32"/>
          <w:szCs w:val="32"/>
        </w:rPr>
      </w:pPr>
      <w:r>
        <w:rPr>
          <w:rStyle w:val="10"/>
          <w:rFonts w:ascii="黑体" w:hAnsi="黑体" w:eastAsia="黑体" w:cs="黑体"/>
          <w:sz w:val="32"/>
          <w:szCs w:val="32"/>
          <w:shd w:val="clear" w:color="auto" w:fill="FFFFFF"/>
        </w:rPr>
        <w:t>二、单位决算情况说明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（一）收入支出决算总体情况说明。</w:t>
      </w:r>
    </w:p>
    <w:p>
      <w:pPr>
        <w:pStyle w:val="6"/>
        <w:shd w:val="clear" w:color="auto" w:fill="FFFFFF"/>
        <w:ind w:firstLine="643" w:firstLineChars="200"/>
        <w:rPr>
          <w:rFonts w:hint="default" w:ascii="方正仿宋_GBK" w:hAnsi="方正仿宋_GBK" w:eastAsia="方正仿宋_GBK" w:cs="方正仿宋_GBK"/>
          <w:sz w:val="32"/>
          <w:szCs w:val="32"/>
          <w:lang w:val="en-US" w:eastAsia="zh-CN"/>
        </w:rPr>
      </w:pPr>
      <w:r>
        <w:rPr>
          <w:rStyle w:val="10"/>
          <w:rFonts w:ascii="方正仿宋_GBK" w:hAnsi="方正仿宋_GBK" w:eastAsia="方正仿宋_GBK" w:cs="方正仿宋_GBK"/>
          <w:sz w:val="32"/>
          <w:szCs w:val="32"/>
          <w:shd w:val="clear" w:color="auto" w:fill="FFFFFF"/>
        </w:rPr>
        <w:t>1.总体情况。</w:t>
      </w:r>
      <w:r>
        <w:rPr>
          <w:rFonts w:ascii="方正仿宋_GBK" w:hAnsi="方正仿宋_GBK" w:eastAsia="方正仿宋_GBK" w:cs="方正仿宋_GBK"/>
          <w:sz w:val="32"/>
          <w:szCs w:val="32"/>
          <w:shd w:val="clear" w:color="auto" w:fill="FFFFFF"/>
        </w:rPr>
        <w:t>2023年度收入总计159.69万元，支出总计</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万元。收支较上年决算数增加44.98万元，增长39.21%，主要原因是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本单位2023年度新调入1人，人员晋级晋升，薪级工资增加，财政拨付增加，总体情况收支增加。</w:t>
      </w:r>
    </w:p>
    <w:p>
      <w:pPr>
        <w:pStyle w:val="6"/>
        <w:shd w:val="clear" w:color="auto" w:fill="FFFFFF"/>
        <w:ind w:firstLine="643" w:firstLineChars="200"/>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2.收入情况。</w:t>
      </w:r>
      <w:r>
        <w:rPr>
          <w:rFonts w:ascii="方正仿宋_GBK" w:hAnsi="方正仿宋_GBK" w:eastAsia="方正仿宋_GBK" w:cs="方正仿宋_GBK"/>
          <w:sz w:val="32"/>
          <w:szCs w:val="32"/>
          <w:shd w:val="clear" w:color="auto" w:fill="FFFFFF"/>
        </w:rPr>
        <w:t>2023年度收入合计159.69万元，较上年决算数增加44.98万元，增长39.21%，主要原因是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r>
        <w:rPr>
          <w:rFonts w:ascii="方正仿宋_GBK" w:hAnsi="方正仿宋_GBK" w:eastAsia="方正仿宋_GBK" w:cs="方正仿宋_GBK"/>
          <w:sz w:val="32"/>
          <w:szCs w:val="32"/>
          <w:shd w:val="clear" w:color="auto" w:fill="FFFFFF"/>
        </w:rPr>
        <w:t>其中：财政拨款收入</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100.00</w:t>
      </w:r>
      <w:r>
        <w:rPr>
          <w:rFonts w:ascii="方正仿宋_GBK" w:hAnsi="方正仿宋_GBK" w:eastAsia="方正仿宋_GBK" w:cs="方正仿宋_GBK"/>
          <w:sz w:val="32"/>
          <w:szCs w:val="32"/>
          <w:shd w:val="clear" w:color="auto" w:fill="FFFFFF"/>
        </w:rPr>
        <w:t>%。</w:t>
      </w:r>
    </w:p>
    <w:p>
      <w:pPr>
        <w:pStyle w:val="6"/>
        <w:shd w:val="clear" w:color="auto" w:fill="FFFFFF"/>
        <w:ind w:firstLine="643" w:firstLineChars="200"/>
        <w:rPr>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3.支出情况。</w:t>
      </w:r>
      <w:r>
        <w:rPr>
          <w:rFonts w:ascii="方正仿宋_GBK" w:hAnsi="方正仿宋_GBK" w:eastAsia="方正仿宋_GBK" w:cs="方正仿宋_GBK"/>
          <w:sz w:val="32"/>
          <w:szCs w:val="32"/>
          <w:shd w:val="clear" w:color="auto" w:fill="FFFFFF"/>
        </w:rPr>
        <w:t>2023年度支出合计</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万元，较上年决算数增加44.98万元，增长39.21%，主要原因是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r>
        <w:rPr>
          <w:rFonts w:ascii="方正仿宋_GBK" w:hAnsi="方正仿宋_GBK" w:eastAsia="方正仿宋_GBK" w:cs="方正仿宋_GBK"/>
          <w:sz w:val="32"/>
          <w:szCs w:val="32"/>
          <w:shd w:val="clear" w:color="auto" w:fill="FFFFFF"/>
        </w:rPr>
        <w:t>其中：基本支出</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万元，占100%。</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4.结转结余情况。</w:t>
      </w:r>
      <w:r>
        <w:rPr>
          <w:rFonts w:ascii="方正仿宋_GBK" w:hAnsi="方正仿宋_GBK" w:eastAsia="方正仿宋_GBK" w:cs="方正仿宋_GBK"/>
          <w:sz w:val="32"/>
          <w:szCs w:val="32"/>
          <w:shd w:val="clear" w:color="auto" w:fill="FFFFFF"/>
        </w:rPr>
        <w:t>2023年度年末结转和结余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rPr>
        <w:t>本单位严格执行财政预算调整预算和决算制度，所以无结转结余情况。</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（二）财政拨款收入支出决算总体情况说明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2023年度财政拨款收、支总计159.69万元。与2022年相比，财政拨款收、支总计各增加44.98万元，增长39.21%。主要原因是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（三）一般公共预算财政拨款收入支出决算情况说明</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1.收入情况。</w:t>
      </w:r>
      <w:r>
        <w:rPr>
          <w:rFonts w:ascii="方正仿宋_GBK" w:hAnsi="方正仿宋_GBK" w:eastAsia="方正仿宋_GBK" w:cs="方正仿宋_GBK"/>
          <w:sz w:val="32"/>
          <w:szCs w:val="32"/>
          <w:shd w:val="clear" w:color="auto" w:fill="FFFFFF"/>
        </w:rPr>
        <w:t>2023年度一般公共预算财政拨款收入</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万元，较上年决算数增加44.98万元，增长39.21%。主要原因是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r>
        <w:rPr>
          <w:rFonts w:ascii="方正仿宋_GBK" w:hAnsi="方正仿宋_GBK" w:eastAsia="方正仿宋_GBK" w:cs="方正仿宋_GBK"/>
          <w:sz w:val="32"/>
          <w:szCs w:val="32"/>
          <w:shd w:val="clear" w:color="auto" w:fill="FFFFFF"/>
        </w:rPr>
        <w:t>较年初预算数增加47.21万元，增长41.97%。主要原因是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r>
        <w:rPr>
          <w:rFonts w:ascii="方正仿宋_GBK" w:hAnsi="方正仿宋_GBK" w:eastAsia="方正仿宋_GBK" w:cs="方正仿宋_GBK"/>
          <w:sz w:val="32"/>
          <w:szCs w:val="32"/>
          <w:shd w:val="clear" w:color="auto" w:fill="FFFFFF"/>
        </w:rPr>
        <w:t>此外，年初财政拨款结转和结余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w:t>
      </w:r>
    </w:p>
    <w:p>
      <w:pPr>
        <w:pStyle w:val="6"/>
        <w:snapToGrid w:val="0"/>
        <w:spacing w:before="0" w:beforeAutospacing="0" w:after="0" w:afterAutospacing="0" w:line="600" w:lineRule="exact"/>
        <w:ind w:firstLine="643" w:firstLineChars="200"/>
        <w:jc w:val="both"/>
        <w:rPr>
          <w:rFonts w:hint="eastAsia" w:ascii="方正仿宋_GBK" w:hAnsi="方正仿宋_GBK" w:eastAsia="方正仿宋_GBK" w:cs="方正仿宋_GBK"/>
          <w:sz w:val="32"/>
          <w:szCs w:val="32"/>
          <w:shd w:val="clear" w:color="auto" w:fill="FFFFFF"/>
          <w:lang w:val="en-US" w:eastAsia="zh-CN"/>
        </w:rPr>
      </w:pPr>
      <w:r>
        <w:rPr>
          <w:rStyle w:val="10"/>
          <w:rFonts w:ascii="方正仿宋_GBK" w:hAnsi="方正仿宋_GBK" w:eastAsia="方正仿宋_GBK" w:cs="方正仿宋_GBK"/>
          <w:sz w:val="32"/>
          <w:szCs w:val="32"/>
          <w:shd w:val="clear" w:color="auto" w:fill="FFFFFF"/>
        </w:rPr>
        <w:t>2.支出情况。</w:t>
      </w:r>
      <w:r>
        <w:rPr>
          <w:rFonts w:ascii="方正仿宋_GBK" w:hAnsi="方正仿宋_GBK" w:eastAsia="方正仿宋_GBK" w:cs="方正仿宋_GBK"/>
          <w:sz w:val="32"/>
          <w:szCs w:val="32"/>
          <w:shd w:val="clear" w:color="auto" w:fill="FFFFFF"/>
        </w:rPr>
        <w:t>2023年度一般公共预算财政拨款支出</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万元，较上年决算数增加44.98万元，增长39.21%。主要原因是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r>
        <w:rPr>
          <w:rFonts w:ascii="方正仿宋_GBK" w:hAnsi="方正仿宋_GBK" w:eastAsia="方正仿宋_GBK" w:cs="方正仿宋_GBK"/>
          <w:sz w:val="32"/>
          <w:szCs w:val="32"/>
          <w:shd w:val="clear" w:color="auto" w:fill="FFFFFF"/>
        </w:rPr>
        <w:t>较年初预算数增加47.21万元，增长41.97%。主要原因是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本单位2023年度新调入1人，人员晋级晋升，薪级工资增加，财政拨付增加，收支增加。</w:t>
      </w:r>
    </w:p>
    <w:p>
      <w:pPr>
        <w:keepNext w:val="0"/>
        <w:keepLines w:val="0"/>
        <w:pageBreakBefore w:val="0"/>
        <w:widowControl w:val="0"/>
        <w:kinsoku/>
        <w:wordWrap/>
        <w:overflowPunct/>
        <w:topLinePunct w:val="0"/>
        <w:autoSpaceDE/>
        <w:autoSpaceDN/>
        <w:bidi w:val="0"/>
        <w:adjustRightInd/>
        <w:snapToGrid/>
        <w:spacing w:line="594" w:lineRule="exact"/>
        <w:ind w:firstLine="643" w:firstLineChars="200"/>
        <w:textAlignment w:val="auto"/>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3.结转结余情况。</w:t>
      </w:r>
      <w:r>
        <w:rPr>
          <w:rFonts w:ascii="方正仿宋_GBK" w:hAnsi="方正仿宋_GBK" w:eastAsia="方正仿宋_GBK" w:cs="方正仿宋_GBK"/>
          <w:sz w:val="32"/>
          <w:szCs w:val="32"/>
          <w:shd w:val="clear" w:color="auto" w:fill="FFFFFF"/>
        </w:rPr>
        <w:t>2023年度年末一般公共预算财政拨款结转和结余</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万元，较上年决算数无增减，主要原因是</w:t>
      </w:r>
      <w:r>
        <w:rPr>
          <w:rFonts w:hint="eastAsia" w:ascii="方正仿宋_GBK" w:hAnsi="方正仿宋_GBK" w:eastAsia="方正仿宋_GBK" w:cs="方正仿宋_GBK"/>
          <w:sz w:val="32"/>
          <w:szCs w:val="32"/>
        </w:rPr>
        <w:t>本单位严格执行财政预算和调整预算制度，合理安排相关支出，无结转结余。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xml:space="preserve"> 4.比较情况。</w:t>
      </w:r>
      <w:r>
        <w:rPr>
          <w:rFonts w:ascii="方正仿宋_GBK" w:hAnsi="方正仿宋_GBK" w:eastAsia="方正仿宋_GBK" w:cs="方正仿宋_GBK"/>
          <w:sz w:val="32"/>
          <w:szCs w:val="32"/>
          <w:shd w:val="clear" w:color="auto" w:fill="FFFFFF"/>
        </w:rPr>
        <w:t>本单位2023年度一般公共预算财政拨款支出主要用于以下几个方面：</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ascii="方正仿宋_GBK" w:hAnsi="方正仿宋_GBK" w:eastAsia="方正仿宋_GBK" w:cs="方正仿宋_GBK"/>
          <w:sz w:val="32"/>
          <w:szCs w:val="32"/>
          <w:shd w:val="clear" w:color="auto" w:fill="FFFFFF"/>
        </w:rPr>
        <w:t>）教育支出</w:t>
      </w:r>
      <w:r>
        <w:rPr>
          <w:rFonts w:ascii="方正仿宋_GBK" w:hAnsi="方正仿宋_GBK" w:eastAsia="方正仿宋_GBK" w:cs="方正仿宋_GBK"/>
          <w:sz w:val="32"/>
          <w:szCs w:val="32"/>
        </w:rPr>
        <w:t>0.32</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0.20</w:t>
      </w:r>
      <w:r>
        <w:rPr>
          <w:rFonts w:ascii="方正仿宋_GBK" w:hAnsi="方正仿宋_GBK" w:eastAsia="方正仿宋_GBK" w:cs="方正仿宋_GBK"/>
          <w:sz w:val="32"/>
          <w:szCs w:val="32"/>
          <w:shd w:val="clear" w:color="auto" w:fill="FFFFFF"/>
        </w:rPr>
        <w:t>%，较年初预算数无增减，主要原因是</w:t>
      </w:r>
      <w:r>
        <w:rPr>
          <w:rFonts w:hint="eastAsia" w:ascii="方正仿宋_GBK" w:hAnsi="方正仿宋_GBK" w:eastAsia="方正仿宋_GBK" w:cs="方正仿宋_GBK"/>
          <w:sz w:val="32"/>
          <w:szCs w:val="32"/>
        </w:rPr>
        <w:t>本单位严格执行财政预算和调整预算制度，合理安排相关支出。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）社会保障与就业支出</w:t>
      </w:r>
      <w:r>
        <w:rPr>
          <w:rFonts w:ascii="方正仿宋_GBK" w:hAnsi="方正仿宋_GBK" w:eastAsia="方正仿宋_GBK" w:cs="方正仿宋_GBK"/>
          <w:sz w:val="32"/>
          <w:szCs w:val="32"/>
        </w:rPr>
        <w:t>145.27</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90.97</w:t>
      </w:r>
      <w:r>
        <w:rPr>
          <w:rFonts w:ascii="方正仿宋_GBK" w:hAnsi="方正仿宋_GBK" w:eastAsia="方正仿宋_GBK" w:cs="方正仿宋_GBK"/>
          <w:sz w:val="32"/>
          <w:szCs w:val="32"/>
          <w:shd w:val="clear" w:color="auto" w:fill="FFFFFF"/>
        </w:rPr>
        <w:t>%，较年初预算数增加43.76万元，增长43.11%，主要原因是</w:t>
      </w:r>
      <w:r>
        <w:rPr>
          <w:rFonts w:hint="eastAsia" w:ascii="方正仿宋_GBK" w:hAnsi="方正仿宋_GBK" w:eastAsia="方正仿宋_GBK" w:cs="方正仿宋_GBK"/>
          <w:sz w:val="32"/>
          <w:szCs w:val="32"/>
          <w:shd w:val="clear" w:color="auto" w:fill="FFFFFF"/>
          <w:lang w:val="en-US" w:eastAsia="zh-CN"/>
        </w:rPr>
        <w:t>2023年新调入1人，</w:t>
      </w:r>
      <w:r>
        <w:rPr>
          <w:rFonts w:hint="eastAsia" w:ascii="方正仿宋_GBK" w:hAnsi="方正仿宋_GBK" w:eastAsia="方正仿宋_GBK" w:cs="方正仿宋_GBK"/>
          <w:sz w:val="32"/>
          <w:szCs w:val="32"/>
        </w:rPr>
        <w:t>纳入调整预算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养老保险、职业年金等各项社会保险增加。</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color w:val="FF0000"/>
          <w:sz w:val="32"/>
          <w:szCs w:val="32"/>
          <w:shd w:val="clear" w:color="auto" w:fill="FFFFFF"/>
          <w:lang w:val="en-US" w:eastAsia="zh-CN"/>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ascii="方正仿宋_GBK" w:hAnsi="方正仿宋_GBK" w:eastAsia="方正仿宋_GBK" w:cs="方正仿宋_GBK"/>
          <w:sz w:val="32"/>
          <w:szCs w:val="32"/>
          <w:shd w:val="clear" w:color="auto" w:fill="FFFFFF"/>
        </w:rPr>
        <w:t>）卫生健康支出</w:t>
      </w:r>
      <w:r>
        <w:rPr>
          <w:rFonts w:ascii="方正仿宋_GBK" w:hAnsi="方正仿宋_GBK" w:eastAsia="方正仿宋_GBK" w:cs="方正仿宋_GBK"/>
          <w:sz w:val="32"/>
          <w:szCs w:val="32"/>
        </w:rPr>
        <w:t>7.11</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4.45</w:t>
      </w:r>
      <w:r>
        <w:rPr>
          <w:rFonts w:ascii="方正仿宋_GBK" w:hAnsi="方正仿宋_GBK" w:eastAsia="方正仿宋_GBK" w:cs="方正仿宋_GBK"/>
          <w:sz w:val="32"/>
          <w:szCs w:val="32"/>
          <w:shd w:val="clear" w:color="auto" w:fill="FFFFFF"/>
        </w:rPr>
        <w:t>%，较年初预算数增加1.95万元，增长37.79%，主要原因是</w:t>
      </w:r>
      <w:r>
        <w:rPr>
          <w:rFonts w:hint="eastAsia" w:ascii="方正仿宋_GBK" w:hAnsi="方正仿宋_GBK" w:eastAsia="方正仿宋_GBK" w:cs="方正仿宋_GBK"/>
          <w:sz w:val="32"/>
          <w:szCs w:val="32"/>
          <w:shd w:val="clear" w:color="auto" w:fill="FFFFFF"/>
          <w:lang w:val="en-US" w:eastAsia="zh-CN"/>
        </w:rPr>
        <w:t>2023年新调入1人，</w:t>
      </w:r>
      <w:r>
        <w:rPr>
          <w:rFonts w:hint="eastAsia" w:ascii="方正仿宋_GBK" w:hAnsi="方正仿宋_GBK" w:eastAsia="方正仿宋_GBK" w:cs="方正仿宋_GBK"/>
          <w:sz w:val="32"/>
          <w:szCs w:val="32"/>
        </w:rPr>
        <w:t>纳入调整预算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医疗保险支出增加，导致</w:t>
      </w:r>
      <w:r>
        <w:rPr>
          <w:rFonts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shd w:val="clear" w:color="auto" w:fill="FFFFFF"/>
          <w:lang w:val="en-US" w:eastAsia="zh-CN"/>
        </w:rPr>
        <w:t>增加。</w:t>
      </w:r>
    </w:p>
    <w:p>
      <w:pPr>
        <w:ind w:firstLine="640" w:firstLineChars="200"/>
        <w:rPr>
          <w:rFonts w:hint="default" w:ascii="方正仿宋_GBK" w:hAnsi="方正仿宋_GBK" w:eastAsia="方正仿宋_GBK" w:cs="方正仿宋_GBK"/>
          <w:color w:val="FF0000"/>
          <w:sz w:val="32"/>
          <w:szCs w:val="32"/>
          <w:shd w:val="clear" w:color="auto" w:fill="FFFFFF"/>
        </w:rPr>
      </w:pPr>
      <w:r>
        <w:rPr>
          <w:rFonts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ascii="方正仿宋_GBK" w:hAnsi="方正仿宋_GBK" w:eastAsia="方正仿宋_GBK" w:cs="方正仿宋_GBK"/>
          <w:sz w:val="32"/>
          <w:szCs w:val="32"/>
          <w:shd w:val="clear" w:color="auto" w:fill="FFFFFF"/>
        </w:rPr>
        <w:t>）</w:t>
      </w:r>
      <w:r>
        <w:rPr>
          <w:rFonts w:ascii="方正仿宋_GBK" w:hAnsi="方正仿宋_GBK" w:eastAsia="方正仿宋_GBK" w:cs="方正仿宋_GBK"/>
          <w:sz w:val="32"/>
          <w:szCs w:val="32"/>
        </w:rPr>
        <w:t>住房保障支出7.00</w:t>
      </w:r>
      <w:r>
        <w:rPr>
          <w:rFonts w:ascii="方正仿宋_GBK" w:hAnsi="方正仿宋_GBK" w:eastAsia="方正仿宋_GBK" w:cs="方正仿宋_GBK"/>
          <w:sz w:val="32"/>
          <w:szCs w:val="32"/>
          <w:shd w:val="clear" w:color="auto" w:fill="FFFFFF"/>
        </w:rPr>
        <w:t>万元，占</w:t>
      </w:r>
      <w:r>
        <w:rPr>
          <w:rFonts w:ascii="方正仿宋_GBK" w:hAnsi="方正仿宋_GBK" w:eastAsia="方正仿宋_GBK" w:cs="方正仿宋_GBK"/>
          <w:sz w:val="32"/>
          <w:szCs w:val="32"/>
        </w:rPr>
        <w:t>4.38</w:t>
      </w:r>
      <w:r>
        <w:rPr>
          <w:rFonts w:ascii="方正仿宋_GBK" w:hAnsi="方正仿宋_GBK" w:eastAsia="方正仿宋_GBK" w:cs="方正仿宋_GBK"/>
          <w:sz w:val="32"/>
          <w:szCs w:val="32"/>
          <w:shd w:val="clear" w:color="auto" w:fill="FFFFFF"/>
        </w:rPr>
        <w:t>%，较年初预算数增加1.52万元，增长27.74%，主要原因是</w:t>
      </w:r>
      <w:r>
        <w:rPr>
          <w:rFonts w:hint="eastAsia" w:ascii="方正仿宋_GBK" w:hAnsi="方正仿宋_GBK" w:eastAsia="方正仿宋_GBK" w:cs="方正仿宋_GBK"/>
          <w:sz w:val="32"/>
          <w:szCs w:val="32"/>
          <w:shd w:val="clear" w:color="auto" w:fill="FFFFFF"/>
          <w:lang w:val="en-US" w:eastAsia="zh-CN"/>
        </w:rPr>
        <w:t>2023年新调入1人，人员晋级晋档，</w:t>
      </w:r>
      <w:r>
        <w:rPr>
          <w:rFonts w:hint="eastAsia" w:ascii="方正仿宋_GBK" w:hAnsi="方正仿宋_GBK" w:eastAsia="方正仿宋_GBK" w:cs="方正仿宋_GBK"/>
          <w:sz w:val="32"/>
          <w:szCs w:val="32"/>
        </w:rPr>
        <w:t>纳入调整预算</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住房公积金增加，导致</w:t>
      </w:r>
      <w:r>
        <w:rPr>
          <w:rFonts w:ascii="方正仿宋_GBK" w:hAnsi="方正仿宋_GBK" w:eastAsia="方正仿宋_GBK" w:cs="方正仿宋_GBK"/>
          <w:sz w:val="32"/>
          <w:szCs w:val="32"/>
        </w:rPr>
        <w:t>住房保障支出</w:t>
      </w:r>
      <w:r>
        <w:rPr>
          <w:rFonts w:hint="eastAsia" w:ascii="方正仿宋_GBK" w:hAnsi="方正仿宋_GBK" w:eastAsia="方正仿宋_GBK" w:cs="方正仿宋_GBK"/>
          <w:sz w:val="32"/>
          <w:szCs w:val="32"/>
          <w:lang w:val="en-US" w:eastAsia="zh-CN"/>
        </w:rPr>
        <w:t>增加。</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（四）一般公共预算财政拨款基本支出决算情况说明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2023年度一般公共财政拨款基本支出</w:t>
      </w:r>
      <w:r>
        <w:rPr>
          <w:rFonts w:ascii="方正仿宋_GBK" w:hAnsi="方正仿宋_GBK" w:eastAsia="方正仿宋_GBK" w:cs="方正仿宋_GBK"/>
          <w:sz w:val="32"/>
          <w:szCs w:val="32"/>
        </w:rPr>
        <w:t>159.69</w:t>
      </w:r>
      <w:r>
        <w:rPr>
          <w:rFonts w:ascii="方正仿宋_GBK" w:hAnsi="方正仿宋_GBK" w:eastAsia="方正仿宋_GBK" w:cs="方正仿宋_GBK"/>
          <w:sz w:val="32"/>
          <w:szCs w:val="32"/>
          <w:shd w:val="clear" w:color="auto" w:fill="FFFFFF"/>
        </w:rPr>
        <w:t>万元。其中：人员经费</w:t>
      </w:r>
      <w:r>
        <w:rPr>
          <w:rFonts w:ascii="方正仿宋_GBK" w:hAnsi="方正仿宋_GBK" w:eastAsia="方正仿宋_GBK" w:cs="方正仿宋_GBK"/>
          <w:sz w:val="32"/>
          <w:szCs w:val="32"/>
        </w:rPr>
        <w:t>144.26</w:t>
      </w:r>
      <w:r>
        <w:rPr>
          <w:rFonts w:ascii="方正仿宋_GBK" w:hAnsi="方正仿宋_GBK" w:eastAsia="方正仿宋_GBK" w:cs="方正仿宋_GBK"/>
          <w:sz w:val="32"/>
          <w:szCs w:val="32"/>
          <w:shd w:val="clear" w:color="auto" w:fill="FFFFFF"/>
        </w:rPr>
        <w:t>万元，较上年决算数增加43.41万元，增长43.04%，主要原因是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本单位2023年度新调入1人，人员晋级晋升，财政拨付增加，收支增加。</w:t>
      </w:r>
      <w:r>
        <w:rPr>
          <w:rFonts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rPr>
        <w:t>基本工资、绩效工资、津贴补贴、奖金、其他工资福利支出、社会保障缴费、公积金费用等</w:t>
      </w:r>
      <w:r>
        <w:rPr>
          <w:rFonts w:hint="eastAsia" w:ascii="方正仿宋_GBK" w:hAnsi="方正仿宋_GBK" w:eastAsia="方正仿宋_GBK" w:cs="方正仿宋_GBK"/>
          <w:sz w:val="32"/>
          <w:szCs w:val="32"/>
          <w:lang w:eastAsia="zh-CN"/>
        </w:rPr>
        <w:t>。</w:t>
      </w:r>
      <w:r>
        <w:rPr>
          <w:rFonts w:ascii="方正仿宋_GBK" w:hAnsi="方正仿宋_GBK" w:eastAsia="方正仿宋_GBK" w:cs="方正仿宋_GBK"/>
          <w:sz w:val="32"/>
          <w:szCs w:val="32"/>
          <w:shd w:val="clear" w:color="auto" w:fill="FFFFFF"/>
        </w:rPr>
        <w:t>公用经费</w:t>
      </w:r>
      <w:r>
        <w:rPr>
          <w:rFonts w:ascii="方正仿宋_GBK" w:hAnsi="方正仿宋_GBK" w:eastAsia="方正仿宋_GBK" w:cs="方正仿宋_GBK"/>
          <w:sz w:val="32"/>
          <w:szCs w:val="32"/>
        </w:rPr>
        <w:t>15.44</w:t>
      </w:r>
      <w:r>
        <w:rPr>
          <w:rFonts w:ascii="方正仿宋_GBK" w:hAnsi="方正仿宋_GBK" w:eastAsia="方正仿宋_GBK" w:cs="方正仿宋_GBK"/>
          <w:sz w:val="32"/>
          <w:szCs w:val="32"/>
          <w:shd w:val="clear" w:color="auto" w:fill="FFFFFF"/>
        </w:rPr>
        <w:t>万元，较上年决算数增加1.58万元，增长11.40%，主要原因是</w:t>
      </w:r>
      <w:r>
        <w:rPr>
          <w:rFonts w:hint="eastAsia" w:ascii="方正仿宋_GBK" w:hAnsi="方正仿宋_GBK" w:eastAsia="方正仿宋_GBK" w:cs="方正仿宋_GBK"/>
          <w:sz w:val="32"/>
          <w:szCs w:val="32"/>
          <w:shd w:val="clear" w:color="auto" w:fill="FFFFFF"/>
          <w:lang w:val="en-US" w:eastAsia="zh-CN"/>
        </w:rPr>
        <w:t>本单位2023年度新调入1人，人员晋级晋升，财政拨付增加，收支增加。</w:t>
      </w:r>
      <w:r>
        <w:rPr>
          <w:rFonts w:ascii="方正仿宋_GBK" w:hAnsi="方正仿宋_GBK" w:eastAsia="方正仿宋_GBK" w:cs="方正仿宋_GBK"/>
          <w:sz w:val="32"/>
          <w:szCs w:val="32"/>
          <w:shd w:val="clear" w:color="auto" w:fill="FFFFFF"/>
        </w:rPr>
        <w:t>公用经费用途主要包括</w:t>
      </w:r>
      <w:r>
        <w:rPr>
          <w:rFonts w:hint="eastAsia" w:ascii="方正仿宋_GBK" w:hAnsi="方正仿宋_GBK" w:eastAsia="方正仿宋_GBK" w:cs="方正仿宋_GBK"/>
          <w:sz w:val="32"/>
          <w:szCs w:val="32"/>
        </w:rPr>
        <w:t>办公费、差旅费、邮电费、培训费、工会经费、福利费、公务接待费、其他商品服务支出等。</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（五）政府性基金预算收支决算情况说明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本单位2023年度无政府性基金预算财政拨款收支。</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（六）国有资本经营预算财政拨款支出决算情况说明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本单位2023年度无国有资本经营预算财政拨款支出。</w:t>
      </w:r>
    </w:p>
    <w:p>
      <w:pPr>
        <w:pStyle w:val="6"/>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三、“三公”经费情况说明</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xml:space="preserve"> （一）“三公”经费支出总体情况说明</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2023年度“三公”经费支出共计</w:t>
      </w:r>
      <w:r>
        <w:rPr>
          <w:rFonts w:ascii="方正仿宋_GBK" w:hAnsi="方正仿宋_GBK" w:eastAsia="方正仿宋_GBK" w:cs="方正仿宋_GBK"/>
          <w:sz w:val="32"/>
          <w:szCs w:val="32"/>
        </w:rPr>
        <w:t>0.19</w:t>
      </w:r>
      <w:r>
        <w:rPr>
          <w:rFonts w:ascii="方正仿宋_GBK" w:hAnsi="方正仿宋_GBK" w:eastAsia="方正仿宋_GBK" w:cs="方正仿宋_GBK"/>
          <w:sz w:val="32"/>
          <w:szCs w:val="32"/>
          <w:shd w:val="clear" w:color="auto" w:fill="FFFFFF"/>
        </w:rPr>
        <w:t>万元，较年初预算数无增减，主要原因是</w:t>
      </w:r>
      <w:r>
        <w:rPr>
          <w:rFonts w:hint="eastAsia" w:ascii="方正仿宋_GBK" w:hAnsi="方正仿宋_GBK" w:eastAsia="方正仿宋_GBK" w:cs="方正仿宋_GBK"/>
          <w:sz w:val="32"/>
          <w:szCs w:val="32"/>
        </w:rPr>
        <w:t>本单位严格执行财政预算相关制度，严控“三公”经费支出。</w:t>
      </w:r>
      <w:r>
        <w:rPr>
          <w:rFonts w:ascii="方正仿宋_GBK" w:hAnsi="方正仿宋_GBK" w:eastAsia="方正仿宋_GBK" w:cs="方正仿宋_GBK"/>
          <w:sz w:val="32"/>
          <w:szCs w:val="32"/>
          <w:shd w:val="clear" w:color="auto" w:fill="FFFFFF"/>
        </w:rPr>
        <w:t>较上年支出数减少0.34万元，下降64.15%，主要原因是</w:t>
      </w: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年严格执行上级过紧日子政策，控制各项支出。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（二）“三公”经费分项支出情况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2023年度本单位因公出国（境）费用</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万元，费用支出较年初预算数无增减，较上年支出数无增减，主要原因是</w:t>
      </w:r>
      <w:r>
        <w:rPr>
          <w:rFonts w:hint="eastAsia" w:ascii="方正仿宋_GBK" w:hAnsi="方正仿宋_GBK" w:eastAsia="方正仿宋_GBK" w:cs="方正仿宋_GBK"/>
          <w:sz w:val="32"/>
          <w:szCs w:val="32"/>
        </w:rPr>
        <w:t>本单位20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年未发生因公出国（境）费用支出。</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shd w:val="clear" w:color="auto" w:fill="FFFFFF"/>
          <w:lang w:val="en-US" w:eastAsia="zh-CN"/>
        </w:rPr>
      </w:pPr>
      <w:r>
        <w:rPr>
          <w:rFonts w:ascii="方正仿宋_GBK" w:hAnsi="方正仿宋_GBK" w:eastAsia="方正仿宋_GBK" w:cs="方正仿宋_GBK"/>
          <w:sz w:val="32"/>
          <w:szCs w:val="32"/>
          <w:shd w:val="clear" w:color="auto" w:fill="FFFFFF"/>
        </w:rPr>
        <w:t> 公务车购置费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万元，费用支出较年初预算数无增减，较上年支出数无增减，主要原因是</w:t>
      </w:r>
      <w:r>
        <w:rPr>
          <w:rFonts w:hint="eastAsia" w:ascii="方正仿宋_GBK" w:hAnsi="方正仿宋_GBK" w:eastAsia="方正仿宋_GBK" w:cs="方正仿宋_GBK"/>
          <w:sz w:val="32"/>
          <w:szCs w:val="32"/>
        </w:rPr>
        <w:t>本单位202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年未发生公务车购置费用</w:t>
      </w:r>
      <w:r>
        <w:rPr>
          <w:rFonts w:hint="eastAsia" w:ascii="方正仿宋_GBK" w:hAnsi="方正仿宋_GBK" w:eastAsia="方正仿宋_GBK" w:cs="方正仿宋_GBK"/>
          <w:sz w:val="32"/>
          <w:szCs w:val="32"/>
          <w:shd w:val="clear" w:color="auto" w:fill="FFFFFF"/>
          <w:lang w:val="en-US" w:eastAsia="zh-CN"/>
        </w:rPr>
        <w:t>。</w:t>
      </w:r>
    </w:p>
    <w:p>
      <w:pPr>
        <w:pStyle w:val="6"/>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公务车运行维护费</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万元，费用支出较年初预算数无增减，较上年支出数无增减，主要原因是</w:t>
      </w:r>
      <w:r>
        <w:rPr>
          <w:rFonts w:hint="eastAsia" w:ascii="方正仿宋_GBK" w:hAnsi="方正仿宋_GBK" w:eastAsia="方正仿宋_GBK" w:cs="方正仿宋_GBK"/>
          <w:sz w:val="32"/>
          <w:szCs w:val="32"/>
        </w:rPr>
        <w:t>本单位20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年未发生公务车运行维护费支出。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公务接待费</w:t>
      </w:r>
      <w:r>
        <w:rPr>
          <w:rFonts w:ascii="方正仿宋_GBK" w:hAnsi="方正仿宋_GBK" w:eastAsia="方正仿宋_GBK" w:cs="方正仿宋_GBK"/>
          <w:sz w:val="32"/>
          <w:szCs w:val="32"/>
        </w:rPr>
        <w:t>0.19</w:t>
      </w:r>
      <w:r>
        <w:rPr>
          <w:rFonts w:ascii="方正仿宋_GBK" w:hAnsi="方正仿宋_GBK" w:eastAsia="方正仿宋_GBK" w:cs="方正仿宋_GBK"/>
          <w:sz w:val="32"/>
          <w:szCs w:val="32"/>
          <w:shd w:val="clear" w:color="auto" w:fill="FFFFFF"/>
        </w:rPr>
        <w:t>万元，费用支出较年初预算数无增减，较上年支出数减少0.34万元，下降64.15%，主要原因是</w:t>
      </w:r>
      <w:r>
        <w:rPr>
          <w:rFonts w:hint="eastAsia" w:ascii="方正仿宋_GBK" w:hAnsi="方正仿宋_GBK" w:eastAsia="方正仿宋_GBK" w:cs="方正仿宋_GBK"/>
          <w:sz w:val="32"/>
          <w:szCs w:val="32"/>
        </w:rPr>
        <w:t>公务接待减少，严控公务接待费支出。</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（三）“三公”经费实物量情况</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shd w:val="clear" w:color="auto" w:fill="FFFFFF"/>
        </w:rPr>
        <w:t>  2023年度本单位因公出国（境）共计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个团组，</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人；公务用车购置</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辆，公务车保有量为</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辆；国内公务接待</w:t>
      </w:r>
      <w:r>
        <w:rPr>
          <w:rFonts w:ascii="方正仿宋_GBK" w:hAnsi="方正仿宋_GBK" w:eastAsia="方正仿宋_GBK" w:cs="方正仿宋_GBK"/>
          <w:sz w:val="32"/>
          <w:szCs w:val="32"/>
        </w:rPr>
        <w:t>19</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45</w:t>
      </w:r>
      <w:r>
        <w:rPr>
          <w:rFonts w:ascii="方正仿宋_GBK" w:hAnsi="方正仿宋_GBK" w:eastAsia="方正仿宋_GBK" w:cs="方正仿宋_GBK"/>
          <w:sz w:val="32"/>
          <w:szCs w:val="32"/>
          <w:shd w:val="clear" w:color="auto" w:fill="FFFFFF"/>
        </w:rPr>
        <w:t>人，其中：国内外事接待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人；国（境）外公务接待</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批次，</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人。2023年本单位人均接待费</w:t>
      </w:r>
      <w:r>
        <w:rPr>
          <w:rFonts w:ascii="方正仿宋_GBK" w:hAnsi="方正仿宋_GBK" w:eastAsia="方正仿宋_GBK" w:cs="方正仿宋_GBK"/>
          <w:sz w:val="32"/>
          <w:szCs w:val="32"/>
        </w:rPr>
        <w:t>42.67</w:t>
      </w:r>
      <w:r>
        <w:rPr>
          <w:rFonts w:ascii="方正仿宋_GBK" w:hAnsi="方正仿宋_GBK" w:eastAsia="方正仿宋_GBK" w:cs="方正仿宋_GBK"/>
          <w:sz w:val="32"/>
          <w:szCs w:val="32"/>
          <w:shd w:val="clear" w:color="auto" w:fill="FFFFFF"/>
        </w:rPr>
        <w:t>元，车均购置费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万元，车均维护费</w:t>
      </w:r>
      <w:r>
        <w:rPr>
          <w:rFonts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黑体" w:hAnsi="黑体" w:eastAsia="黑体" w:cs="黑体"/>
          <w:sz w:val="32"/>
          <w:szCs w:val="32"/>
          <w:shd w:val="clear" w:color="auto" w:fill="FFFFFF"/>
        </w:rPr>
        <w:t>四、其他需要说明的事项</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  （一）财政拨款会议费和培训费情况说明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hint="default" w:ascii="方正仿宋_GBK" w:hAnsi="方正仿宋_GBK" w:eastAsia="方正仿宋_GBK" w:cs="方正仿宋_GBK"/>
          <w:sz w:val="32"/>
          <w:szCs w:val="32"/>
          <w:shd w:val="clear" w:color="auto" w:fill="FFFFFF"/>
        </w:rPr>
        <w:t>因</w:t>
      </w:r>
      <w:r>
        <w:rPr>
          <w:rFonts w:hint="eastAsia" w:ascii="方正仿宋_GBK" w:hAnsi="方正仿宋_GBK" w:eastAsia="方正仿宋_GBK" w:cs="方正仿宋_GBK"/>
          <w:sz w:val="32"/>
          <w:szCs w:val="32"/>
          <w:shd w:val="clear" w:color="auto" w:fill="FFFFFF"/>
          <w:lang w:val="en-US" w:eastAsia="zh-CN"/>
        </w:rPr>
        <w:t>单位性质</w:t>
      </w:r>
      <w:r>
        <w:rPr>
          <w:rFonts w:hint="default" w:ascii="方正仿宋_GBK" w:hAnsi="方正仿宋_GBK" w:eastAsia="方正仿宋_GBK" w:cs="方正仿宋_GBK"/>
          <w:sz w:val="32"/>
          <w:szCs w:val="32"/>
          <w:shd w:val="clear" w:color="auto" w:fill="FFFFFF"/>
        </w:rPr>
        <w:t>原因，财政未保障我单位会议费和培训费。</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lang w:val="en-US" w:eastAsia="zh-CN"/>
        </w:rPr>
      </w:pPr>
      <w:r>
        <w:rPr>
          <w:rFonts w:ascii="方正仿宋_GBK" w:hAnsi="方正仿宋_GBK" w:eastAsia="方正仿宋_GBK" w:cs="方正仿宋_GBK"/>
          <w:sz w:val="32"/>
          <w:szCs w:val="32"/>
          <w:shd w:val="clear" w:color="auto" w:fill="FFFFFF"/>
        </w:rPr>
        <w:t>本年度会议费支出</w:t>
      </w:r>
      <w:r>
        <w:rPr>
          <w:rFonts w:ascii="方正仿宋_GBK" w:hAnsi="方正仿宋_GBK" w:eastAsia="方正仿宋_GBK" w:cs="方正仿宋_GBK"/>
          <w:sz w:val="32"/>
          <w:szCs w:val="32"/>
        </w:rPr>
        <w:t>0.00</w:t>
      </w:r>
      <w:r>
        <w:rPr>
          <w:rFonts w:ascii="方正仿宋_GBK" w:hAnsi="方正仿宋_GBK" w:eastAsia="方正仿宋_GBK" w:cs="方正仿宋_GBK"/>
          <w:sz w:val="32"/>
          <w:szCs w:val="32"/>
          <w:shd w:val="clear" w:color="auto" w:fill="FFFFFF"/>
        </w:rPr>
        <w:t>万元，较上年决算数无增减，本年度培训费支出</w:t>
      </w:r>
      <w:r>
        <w:rPr>
          <w:rFonts w:ascii="方正仿宋_GBK" w:hAnsi="方正仿宋_GBK" w:eastAsia="方正仿宋_GBK" w:cs="方正仿宋_GBK"/>
          <w:sz w:val="32"/>
          <w:szCs w:val="32"/>
        </w:rPr>
        <w:t>0.34</w:t>
      </w:r>
      <w:r>
        <w:rPr>
          <w:rFonts w:ascii="方正仿宋_GBK" w:hAnsi="方正仿宋_GBK" w:eastAsia="方正仿宋_GBK" w:cs="方正仿宋_GBK"/>
          <w:sz w:val="32"/>
          <w:szCs w:val="32"/>
          <w:shd w:val="clear" w:color="auto" w:fill="FFFFFF"/>
        </w:rPr>
        <w:t>万元，较上年决算数增加0.05万元，增长17.24%，主要原因是</w:t>
      </w:r>
      <w:r>
        <w:rPr>
          <w:rFonts w:hint="eastAsia" w:ascii="方正仿宋_GBK" w:hAnsi="方正仿宋_GBK" w:eastAsia="方正仿宋_GBK" w:cs="方正仿宋_GBK"/>
          <w:sz w:val="32"/>
          <w:szCs w:val="32"/>
        </w:rPr>
        <w:t>严格按照预算经费支出</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本年度县级培训减少。</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（二）机关运行经费情况说明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按照部门决算列报口径，我单位不在机关运行经费统计范围之内。</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（三）国有资产占用情况说明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 xml:space="preserve">  </w:t>
      </w:r>
      <w:r>
        <w:rPr>
          <w:rFonts w:hint="default" w:ascii="方正仿宋_GBK" w:hAnsi="方正仿宋_GBK" w:eastAsia="方正仿宋_GBK" w:cs="方正仿宋_GBK"/>
          <w:sz w:val="32"/>
          <w:szCs w:val="32"/>
          <w:shd w:val="clear" w:color="auto" w:fill="FFFFFF"/>
        </w:rPr>
        <w:t>因</w:t>
      </w:r>
      <w:r>
        <w:rPr>
          <w:rFonts w:hint="eastAsia" w:ascii="方正仿宋_GBK" w:hAnsi="方正仿宋_GBK" w:eastAsia="方正仿宋_GBK" w:cs="方正仿宋_GBK"/>
          <w:sz w:val="32"/>
          <w:szCs w:val="32"/>
          <w:shd w:val="clear" w:color="auto" w:fill="FFFFFF"/>
          <w:lang w:val="en-US" w:eastAsia="zh-CN"/>
        </w:rPr>
        <w:t>单位性质</w:t>
      </w:r>
      <w:r>
        <w:rPr>
          <w:rFonts w:hint="default" w:ascii="方正仿宋_GBK" w:hAnsi="方正仿宋_GBK" w:eastAsia="方正仿宋_GBK" w:cs="方正仿宋_GBK"/>
          <w:sz w:val="32"/>
          <w:szCs w:val="32"/>
          <w:shd w:val="clear" w:color="auto" w:fill="FFFFFF"/>
        </w:rPr>
        <w:t>原因，我单位资产未纳入部门决算报表。</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（四）政府采购支出情况说明</w:t>
      </w:r>
    </w:p>
    <w:p>
      <w:pPr>
        <w:pStyle w:val="6"/>
        <w:snapToGrid w:val="0"/>
        <w:spacing w:before="0" w:beforeAutospacing="0" w:after="0" w:afterAutospacing="0" w:line="600" w:lineRule="exact"/>
        <w:ind w:firstLine="640" w:firstLineChars="200"/>
        <w:jc w:val="both"/>
        <w:rPr>
          <w:rFonts w:hint="default" w:ascii="方正仿宋_GBK" w:hAnsi="方正仿宋_GBK" w:eastAsia="方正仿宋_GBK" w:cs="方正仿宋_GBK"/>
          <w:sz w:val="32"/>
          <w:szCs w:val="32"/>
          <w:shd w:val="clear" w:color="auto" w:fill="FFFFFF"/>
        </w:rPr>
      </w:pPr>
      <w:r>
        <w:rPr>
          <w:rFonts w:hint="default" w:ascii="方正仿宋_GBK" w:hAnsi="方正仿宋_GBK" w:eastAsia="方正仿宋_GBK" w:cs="方正仿宋_GBK"/>
          <w:sz w:val="32"/>
          <w:szCs w:val="32"/>
          <w:shd w:val="clear" w:color="auto" w:fill="FFFFFF"/>
        </w:rPr>
        <w:t>2023年度我单位未发生政府采购事项，无相关经费支出。</w:t>
      </w:r>
    </w:p>
    <w:p>
      <w:pPr>
        <w:pStyle w:val="6"/>
        <w:numPr>
          <w:ilvl w:val="0"/>
          <w:numId w:val="1"/>
        </w:numPr>
        <w:shd w:val="clear" w:color="auto" w:fill="FFFFFF"/>
        <w:rPr>
          <w:rStyle w:val="10"/>
          <w:rFonts w:hint="default" w:ascii="黑体" w:hAnsi="黑体" w:eastAsia="黑体" w:cs="黑体"/>
          <w:sz w:val="32"/>
          <w:szCs w:val="32"/>
          <w:shd w:val="clear" w:color="auto" w:fill="FFFFFF"/>
        </w:rPr>
      </w:pPr>
      <w:r>
        <w:rPr>
          <w:rStyle w:val="10"/>
          <w:rFonts w:ascii="黑体" w:hAnsi="黑体" w:eastAsia="黑体" w:cs="黑体"/>
          <w:sz w:val="32"/>
          <w:szCs w:val="32"/>
          <w:shd w:val="clear" w:color="auto" w:fill="FFFFFF"/>
        </w:rPr>
        <w:t>预算绩效管理情况说明</w:t>
      </w:r>
    </w:p>
    <w:p>
      <w:pPr>
        <w:pStyle w:val="12"/>
        <w:numPr>
          <w:ilvl w:val="0"/>
          <w:numId w:val="2"/>
        </w:numPr>
        <w:autoSpaceDE w:val="0"/>
        <w:spacing w:before="0" w:beforeAutospacing="0" w:line="600" w:lineRule="exact"/>
        <w:ind w:left="720" w:leftChars="0" w:firstLineChars="0"/>
        <w:rPr>
          <w:rFonts w:hint="eastAsia"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单位自评情况</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根据预算绩效管理要求，本部门20</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年未开展预算绩效管理工作。</w:t>
      </w:r>
    </w:p>
    <w:p>
      <w:pPr>
        <w:pStyle w:val="12"/>
        <w:numPr>
          <w:ilvl w:val="0"/>
          <w:numId w:val="0"/>
        </w:numPr>
        <w:autoSpaceDE w:val="0"/>
        <w:spacing w:before="0" w:beforeAutospacing="0" w:line="600" w:lineRule="exact"/>
        <w:rPr>
          <w:rFonts w:hint="eastAsia" w:ascii="楷体" w:hAnsi="楷体" w:eastAsia="楷体" w:cs="楷体"/>
          <w:b/>
          <w:bCs/>
          <w:sz w:val="32"/>
          <w:szCs w:val="32"/>
          <w:shd w:val="clear" w:color="auto" w:fill="FFFFFF"/>
        </w:rPr>
      </w:pP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（二）单位绩效评价情况</w:t>
      </w:r>
    </w:p>
    <w:p>
      <w:pPr>
        <w:pStyle w:val="11"/>
        <w:autoSpaceDE w:val="0"/>
        <w:ind w:firstLine="643"/>
        <w:rPr>
          <w:rFonts w:hint="eastAsia" w:ascii="方正仿宋_GBK" w:hAnsi="方正仿宋_GBK" w:eastAsia="方正仿宋_GBK" w:cs="方正仿宋_GBK"/>
          <w:sz w:val="32"/>
          <w:szCs w:val="32"/>
          <w:shd w:val="clear" w:color="auto" w:fill="FFFFFF"/>
          <w:lang w:val="en-US" w:eastAsia="zh-CN" w:bidi="ar-SA"/>
        </w:rPr>
      </w:pPr>
      <w:r>
        <w:rPr>
          <w:rFonts w:hint="eastAsia" w:ascii="方正仿宋_GBK" w:hAnsi="方正仿宋_GBK" w:eastAsia="方正仿宋_GBK" w:cs="方正仿宋_GBK"/>
          <w:sz w:val="32"/>
          <w:szCs w:val="32"/>
          <w:shd w:val="clear" w:color="auto" w:fill="FFFFFF"/>
          <w:lang w:val="en-US" w:eastAsia="zh-CN" w:bidi="ar-SA"/>
        </w:rPr>
        <w:t>我单位未组织开展绩效评价。</w:t>
      </w:r>
    </w:p>
    <w:p>
      <w:pPr>
        <w:pStyle w:val="11"/>
        <w:autoSpaceDE w:val="0"/>
        <w:ind w:firstLine="643"/>
        <w:rPr>
          <w:rFonts w:ascii="楷体" w:hAnsi="楷体" w:eastAsia="楷体" w:cs="楷体"/>
          <w:b/>
          <w:bCs/>
          <w:sz w:val="32"/>
          <w:szCs w:val="32"/>
          <w:shd w:val="clear" w:color="auto" w:fill="FFFFFF"/>
        </w:rPr>
      </w:pPr>
      <w:r>
        <w:rPr>
          <w:rFonts w:hint="eastAsia" w:ascii="楷体" w:hAnsi="楷体" w:eastAsia="楷体" w:cs="楷体"/>
          <w:b/>
          <w:bCs/>
          <w:sz w:val="32"/>
          <w:szCs w:val="32"/>
          <w:shd w:val="clear" w:color="auto" w:fill="FFFFFF"/>
        </w:rPr>
        <w:t>（三）财政绩效评价情况</w:t>
      </w:r>
    </w:p>
    <w:p>
      <w:pPr>
        <w:pStyle w:val="11"/>
        <w:autoSpaceDE w:val="0"/>
        <w:ind w:firstLine="643"/>
        <w:rPr>
          <w:rFonts w:hint="default" w:ascii="方正仿宋_GBK" w:hAnsi="方正仿宋_GBK" w:eastAsia="方正仿宋_GBK" w:cs="方正仿宋_GBK"/>
          <w:sz w:val="32"/>
          <w:szCs w:val="32"/>
          <w:shd w:val="clear" w:color="auto" w:fill="FFFFFF"/>
          <w:lang w:val="en-US" w:eastAsia="zh-CN" w:bidi="ar-SA"/>
        </w:rPr>
      </w:pPr>
      <w:r>
        <w:rPr>
          <w:rFonts w:hint="eastAsia" w:ascii="方正仿宋_GBK" w:hAnsi="方正仿宋_GBK" w:eastAsia="方正仿宋_GBK" w:cs="方正仿宋_GBK"/>
          <w:sz w:val="32"/>
          <w:szCs w:val="32"/>
          <w:shd w:val="clear" w:color="auto" w:fill="FFFFFF"/>
          <w:lang w:val="en-US" w:eastAsia="zh-CN" w:bidi="ar-SA"/>
        </w:rPr>
        <w:t>市财政局未委托第三方对我单位开展绩效评价。</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六、专业名词解释</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Fonts w:ascii="方正仿宋_GBK" w:hAnsi="方正仿宋_GBK" w:eastAsia="方正仿宋_GBK" w:cs="方正仿宋_GBK"/>
          <w:b/>
          <w:bCs/>
          <w:sz w:val="32"/>
          <w:szCs w:val="32"/>
          <w:shd w:val="clear" w:color="auto" w:fill="FFFFFF"/>
        </w:rPr>
        <w:t> </w:t>
      </w:r>
      <w:r>
        <w:rPr>
          <w:rFonts w:ascii="楷体" w:hAnsi="楷体" w:eastAsia="楷体" w:cs="楷体"/>
          <w:b/>
          <w:bCs/>
          <w:sz w:val="32"/>
          <w:szCs w:val="32"/>
          <w:shd w:val="clear" w:color="auto" w:fill="FFFFFF"/>
        </w:rPr>
        <w:t>（一）财政拨款收入：</w:t>
      </w:r>
      <w:r>
        <w:rPr>
          <w:rFonts w:ascii="方正仿宋_GBK" w:hAnsi="方正仿宋_GBK" w:eastAsia="方正仿宋_GBK" w:cs="方正仿宋_GBK"/>
          <w:sz w:val="32"/>
          <w:szCs w:val="32"/>
          <w:shd w:val="clear" w:color="auto" w:fill="FFFFFF"/>
        </w:rPr>
        <w:t>指本年度从本级财政部门取得的财政拨款，包括一般公共预算财政拨款和政府性基金预算财政拨款。</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（二）事业收入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指事业单位开展专业业务活动及其辅助活动取得的现金流入；事业单位收到的财政专户实际核拨的教育收费等资金在此反映。</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（三）经营收入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指事业单位在专业业务活动及其辅助活动之外开展非独立核算经营活动取得的现金流入。</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（四）其他收入</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（五）使用非财政拨款结余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指单位在当年的“财政拨款收入”、“事业收入”、“经营收入”、“其他收入”等不足以安排当年支出的情况下，使用以前年度积累的非财政拨款结余弥补本年度收支缺口的资金。</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（六）年初结转和结余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指单位上年结转本年使用的基本支出结转、项目支出结转和结余、经营结余。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（七）结余分配</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指单位按照国家有关规定，缴纳所得税、提取专用基金、转入非财政拨款结余等当年结余的分配情况。</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（八）年末结转和结余</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指单位结转下年的基本支出结转、项目支出结转和结余、经营结余。</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（九）基本支出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（十）项目支出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指在基本支出之外为完成特定行政任务和事业发展目标所发生的支出。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（十一）经营支出</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指事业单位在专业业务活动及其辅助活动之外开展非独立核算经营活动发生的支出。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（十二）“三公”经费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（十三）机关运行经费</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（十四）工资福利支出（支出经济分类科目类级）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反映单位开支的在职职工和编制外长期聘用人员的各类劳动报酬，以及为上述人员缴纳的各项社会保险费等。</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（十五）商品和服务支出（支出经济分类科目类级）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反映单位购买商品和服务的支出（不包括用于购置固定资产的支出、战略性和应急储备支出）。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楷体" w:hAnsi="楷体" w:eastAsia="楷体" w:cs="楷体"/>
          <w:sz w:val="32"/>
          <w:szCs w:val="32"/>
          <w:shd w:val="clear" w:color="auto" w:fill="FFFFFF"/>
        </w:rPr>
        <w:t> （十六）对个人和家庭的补助（支出经济分类科目类级）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反映用于对个人和家庭的补助支出。</w:t>
      </w:r>
    </w:p>
    <w:p>
      <w:pPr>
        <w:pStyle w:val="6"/>
        <w:snapToGrid w:val="0"/>
        <w:spacing w:before="0" w:beforeAutospacing="0" w:after="0" w:afterAutospacing="0" w:line="600" w:lineRule="exact"/>
        <w:ind w:firstLine="643" w:firstLineChars="200"/>
        <w:jc w:val="both"/>
        <w:rPr>
          <w:rFonts w:hint="default" w:ascii="方正仿宋_GBK" w:hAnsi="方正仿宋_GBK" w:eastAsia="方正仿宋_GBK" w:cs="方正仿宋_GBK"/>
          <w:sz w:val="32"/>
          <w:szCs w:val="32"/>
        </w:rPr>
      </w:pPr>
      <w:r>
        <w:rPr>
          <w:rStyle w:val="10"/>
          <w:rFonts w:ascii="方正仿宋_GBK" w:hAnsi="方正仿宋_GBK" w:eastAsia="方正仿宋_GBK" w:cs="方正仿宋_GBK"/>
          <w:sz w:val="32"/>
          <w:szCs w:val="32"/>
          <w:shd w:val="clear" w:color="auto" w:fill="FFFFFF"/>
        </w:rPr>
        <w:t> </w:t>
      </w:r>
      <w:r>
        <w:rPr>
          <w:rStyle w:val="10"/>
          <w:rFonts w:ascii="楷体" w:hAnsi="楷体" w:eastAsia="楷体" w:cs="楷体"/>
          <w:sz w:val="32"/>
          <w:szCs w:val="32"/>
          <w:shd w:val="clear" w:color="auto" w:fill="FFFFFF"/>
        </w:rPr>
        <w:t>（十七）其他资本性支出（支出经济分类科目类级）</w:t>
      </w:r>
      <w:r>
        <w:rPr>
          <w:rFonts w:ascii="楷体" w:hAnsi="楷体" w:eastAsia="楷体" w:cs="楷体"/>
          <w:sz w:val="32"/>
          <w:szCs w:val="32"/>
          <w:shd w:val="clear" w:color="auto" w:fill="FFFFFF"/>
        </w:rPr>
        <w:t>：</w:t>
      </w:r>
      <w:r>
        <w:rPr>
          <w:rFonts w:ascii="方正仿宋_GBK" w:hAnsi="方正仿宋_GBK" w:eastAsia="方正仿宋_GBK" w:cs="方正仿宋_GBK"/>
          <w:sz w:val="32"/>
          <w:szCs w:val="32"/>
          <w:shd w:val="clear" w:color="auto" w:fill="FFFFFF"/>
        </w:rPr>
        <w:t>反映非各级发展与改革部门集中安排的用于购置固定资产、战略性和应急性储备、土地和无形资产，以及构建基础设施、大型修缮和财政支持企业更新改造所发生的支出。</w:t>
      </w:r>
    </w:p>
    <w:p>
      <w:pPr>
        <w:pStyle w:val="6"/>
        <w:shd w:val="clear" w:color="auto" w:fill="FFFFFF"/>
        <w:rPr>
          <w:rStyle w:val="10"/>
          <w:rFonts w:hint="default" w:ascii="方正仿宋_GBK" w:hAnsi="方正仿宋_GBK" w:eastAsia="方正仿宋_GBK" w:cs="方正仿宋_GBK"/>
          <w:sz w:val="32"/>
          <w:szCs w:val="32"/>
          <w:shd w:val="clear" w:color="auto" w:fill="FFFFFF"/>
        </w:rPr>
      </w:pPr>
      <w:r>
        <w:rPr>
          <w:rStyle w:val="10"/>
          <w:rFonts w:ascii="方正仿宋_GBK" w:hAnsi="方正仿宋_GBK" w:eastAsia="方正仿宋_GBK" w:cs="方正仿宋_GBK"/>
          <w:sz w:val="32"/>
          <w:szCs w:val="32"/>
          <w:shd w:val="clear" w:color="auto" w:fill="FFFFFF"/>
        </w:rPr>
        <w:t xml:space="preserve">  </w:t>
      </w:r>
      <w:r>
        <w:rPr>
          <w:rStyle w:val="10"/>
          <w:rFonts w:ascii="黑体" w:hAnsi="黑体" w:eastAsia="黑体" w:cs="黑体"/>
          <w:sz w:val="32"/>
          <w:szCs w:val="32"/>
          <w:shd w:val="clear" w:color="auto" w:fill="FFFFFF"/>
        </w:rPr>
        <w:t>七、决算公开联系方式及信息反馈渠道</w:t>
      </w:r>
    </w:p>
    <w:p>
      <w:pPr>
        <w:pStyle w:val="6"/>
        <w:snapToGrid w:val="0"/>
        <w:spacing w:before="0" w:beforeAutospacing="0" w:after="0" w:afterAutospacing="0" w:line="600" w:lineRule="exact"/>
        <w:ind w:firstLine="640" w:firstLineChars="200"/>
        <w:jc w:val="both"/>
        <w:rPr>
          <w:rStyle w:val="10"/>
          <w:rFonts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r>
        <w:rPr>
          <w:rFonts w:ascii="方正仿宋_GBK" w:hAnsi="方正仿宋_GBK" w:eastAsia="方正仿宋_GBK" w:cs="方正仿宋_GBK"/>
          <w:sz w:val="32"/>
          <w:szCs w:val="32"/>
          <w:shd w:val="clear" w:color="auto" w:fill="FFFFFF"/>
        </w:rPr>
        <w:t>本单位决算公开信息反馈和联系方式</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023-54560115</w:t>
      </w:r>
    </w:p>
    <w:p>
      <w:pPr>
        <w:rPr>
          <w:rFonts w:hint="default" w:cs="宋体"/>
          <w:sz w:val="21"/>
          <w:szCs w:val="21"/>
        </w:rPr>
      </w:pPr>
    </w:p>
    <w:tbl>
      <w:tblPr>
        <w:tblStyle w:val="7"/>
        <w:tblW w:w="15393" w:type="dxa"/>
        <w:tblInd w:w="0" w:type="dxa"/>
        <w:tblLayout w:type="fixed"/>
        <w:tblCellMar>
          <w:top w:w="0" w:type="dxa"/>
          <w:left w:w="0" w:type="dxa"/>
          <w:bottom w:w="0" w:type="dxa"/>
          <w:right w:w="0" w:type="dxa"/>
        </w:tblCellMar>
      </w:tblPr>
      <w:tblGrid>
        <w:gridCol w:w="5122"/>
        <w:gridCol w:w="2020"/>
        <w:gridCol w:w="4809"/>
        <w:gridCol w:w="3442"/>
      </w:tblGrid>
      <w:tr>
        <w:tblPrEx>
          <w:tblCellMar>
            <w:top w:w="0" w:type="dxa"/>
            <w:left w:w="0" w:type="dxa"/>
            <w:bottom w:w="0" w:type="dxa"/>
            <w:right w:w="0" w:type="dxa"/>
          </w:tblCellMar>
        </w:tblPrEx>
        <w:trPr>
          <w:trHeight w:val="232" w:hRule="atLeast"/>
        </w:trPr>
        <w:tc>
          <w:tcPr>
            <w:tcW w:w="15393" w:type="dxa"/>
            <w:gridSpan w:val="4"/>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收入支出决算总表</w:t>
            </w:r>
          </w:p>
        </w:tc>
      </w:tr>
      <w:tr>
        <w:tblPrEx>
          <w:tblCellMar>
            <w:top w:w="0" w:type="dxa"/>
            <w:left w:w="0" w:type="dxa"/>
            <w:bottom w:w="0" w:type="dxa"/>
            <w:right w:w="0" w:type="dxa"/>
          </w:tblCellMar>
        </w:tblPrEx>
        <w:trPr>
          <w:trHeight w:val="232" w:hRule="atLeast"/>
        </w:trPr>
        <w:tc>
          <w:tcPr>
            <w:tcW w:w="5122"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2020" w:type="dxa"/>
            <w:tcBorders>
              <w:top w:val="nil"/>
              <w:left w:val="nil"/>
              <w:bottom w:val="nil"/>
              <w:right w:val="nil"/>
            </w:tcBorders>
            <w:shd w:val="clear" w:color="auto" w:fill="auto"/>
            <w:noWrap/>
            <w:tcMar>
              <w:top w:w="15" w:type="dxa"/>
              <w:left w:w="15" w:type="dxa"/>
              <w:right w:w="15" w:type="dxa"/>
            </w:tcMar>
            <w:vAlign w:val="bottom"/>
          </w:tcPr>
          <w:p>
            <w:pPr>
              <w:spacing w:line="200" w:lineRule="exact"/>
              <w:jc w:val="right"/>
              <w:rPr>
                <w:rFonts w:hint="default" w:ascii="Arial" w:hAnsi="Arial" w:cs="Arial"/>
                <w:color w:val="000000"/>
                <w:sz w:val="20"/>
                <w:szCs w:val="20"/>
              </w:rPr>
            </w:pP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0"/>
                <w:szCs w:val="20"/>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公开01表</w:t>
            </w:r>
          </w:p>
        </w:tc>
      </w:tr>
      <w:tr>
        <w:tblPrEx>
          <w:tblCellMar>
            <w:top w:w="0" w:type="dxa"/>
            <w:left w:w="0" w:type="dxa"/>
            <w:bottom w:w="0" w:type="dxa"/>
            <w:right w:w="0" w:type="dxa"/>
          </w:tblCellMar>
        </w:tblPrEx>
        <w:trPr>
          <w:trHeight w:val="232" w:hRule="atLeast"/>
        </w:trPr>
        <w:tc>
          <w:tcPr>
            <w:tcW w:w="7142" w:type="dxa"/>
            <w:gridSpan w:val="2"/>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r>
              <w:rPr>
                <w:rFonts w:cs="宋体"/>
                <w:sz w:val="20"/>
                <w:szCs w:val="20"/>
              </w:rPr>
              <w:t>公开单位：</w:t>
            </w:r>
            <w:r>
              <w:rPr>
                <w:sz w:val="20"/>
                <w:u w:color="auto"/>
              </w:rPr>
              <w:t>重庆市忠县官坝镇劳动就业和社会保障服务所</w:t>
            </w:r>
          </w:p>
        </w:tc>
        <w:tc>
          <w:tcPr>
            <w:tcW w:w="4809"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ascii="Arial" w:hAnsi="Arial" w:cs="Arial"/>
                <w:color w:val="000000"/>
                <w:sz w:val="22"/>
                <w:szCs w:val="22"/>
              </w:rPr>
            </w:pPr>
          </w:p>
        </w:tc>
        <w:tc>
          <w:tcPr>
            <w:tcW w:w="3442"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243" w:hRule="atLeast"/>
        </w:trPr>
        <w:tc>
          <w:tcPr>
            <w:tcW w:w="71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收入</w:t>
            </w:r>
          </w:p>
        </w:tc>
        <w:tc>
          <w:tcPr>
            <w:tcW w:w="8251"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支出</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项目</w:t>
            </w:r>
          </w:p>
        </w:tc>
        <w:tc>
          <w:tcPr>
            <w:tcW w:w="2020"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功能分类科目</w:t>
            </w:r>
          </w:p>
        </w:tc>
        <w:tc>
          <w:tcPr>
            <w:tcW w:w="3442"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决算数</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159.69</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一、一般公共服务支出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二、政府性基金预算财政拨款收入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二、外交支出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三、国有资本经营预算财政拨款收入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三、国防支出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四、上级补助收入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四、公共安全支出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五、事业收入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五、教育支出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六、经营收入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六、科学技术支出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七、附属单位上缴收入</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七、文化旅游体育与传媒支出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八、其他收入</w:t>
            </w:r>
          </w:p>
        </w:tc>
        <w:tc>
          <w:tcPr>
            <w:tcW w:w="2020" w:type="dxa"/>
            <w:tcBorders>
              <w:top w:val="nil"/>
              <w:left w:val="nil"/>
              <w:bottom w:val="nil"/>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八、社会保障和就业支出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145.27</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九、卫生健康支出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7.11</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十、节能环保支出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十一、城乡社区支出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40" w:lineRule="exact"/>
              <w:jc w:val="right"/>
              <w:rPr>
                <w:rFonts w:hint="default" w:ascii="Arial" w:hAnsi="Arial" w:cs="Arial"/>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十二、农林水支出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十三、交通运输支出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十四、资源勘探工业信息等支出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十五、商业服务业等支出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十六、金融支出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十七、援助其他地区支出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十八、自然资源海洋气象等支出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十九、住房保障支出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7.00</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二十、粮油物资储备支出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二十一、国有资本经营预算支出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二十二、灾害防治及应急管理支出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二十三、其他支出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rPr>
                <w:rFonts w:hint="default" w:cs="宋体"/>
                <w:b/>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二十四、债务还本支出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二十五、债务付息支出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rPr>
                <w:rFonts w:hint="default" w:cs="宋体"/>
                <w:color w:val="000000"/>
                <w:sz w:val="20"/>
                <w:szCs w:val="20"/>
              </w:rPr>
            </w:pP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rPr>
                <w:rFonts w:hint="default" w:cs="宋体"/>
                <w:color w:val="000000"/>
                <w:sz w:val="20"/>
                <w:szCs w:val="20"/>
              </w:rPr>
            </w:pP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二十六、抗疫特别国债安排的支出</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本年收入合计</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159.69</w:t>
            </w: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本年支出合计</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159.69</w:t>
            </w: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使用非财政拨款结余和专用结余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结余分配</w:t>
            </w:r>
          </w:p>
        </w:tc>
        <w:tc>
          <w:tcPr>
            <w:tcW w:w="344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4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年初结转和结余</w:t>
            </w:r>
          </w:p>
        </w:tc>
        <w:tc>
          <w:tcPr>
            <w:tcW w:w="20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c>
          <w:tcPr>
            <w:tcW w:w="4809"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textAlignment w:val="center"/>
              <w:rPr>
                <w:rFonts w:hint="default" w:cs="宋体"/>
                <w:color w:val="000000"/>
                <w:sz w:val="20"/>
                <w:szCs w:val="20"/>
              </w:rPr>
            </w:pPr>
            <w:r>
              <w:rPr>
                <w:rFonts w:cs="宋体"/>
                <w:color w:val="000000"/>
                <w:sz w:val="20"/>
                <w:szCs w:val="20"/>
              </w:rPr>
              <w:t>年末结转和结余</w:t>
            </w:r>
          </w:p>
        </w:tc>
        <w:tc>
          <w:tcPr>
            <w:tcW w:w="3442"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253" w:hRule="atLeast"/>
        </w:trPr>
        <w:tc>
          <w:tcPr>
            <w:tcW w:w="5122"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20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159.69</w:t>
            </w:r>
            <w:r>
              <w:rPr>
                <w:color w:val="000000"/>
                <w:sz w:val="20"/>
                <w:u w:color="auto"/>
              </w:rPr>
              <w:t xml:space="preserve"> </w:t>
            </w:r>
          </w:p>
        </w:tc>
        <w:tc>
          <w:tcPr>
            <w:tcW w:w="4809"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pPr>
              <w:spacing w:line="240" w:lineRule="exact"/>
              <w:jc w:val="center"/>
              <w:textAlignment w:val="center"/>
              <w:rPr>
                <w:rFonts w:hint="default" w:cs="宋体"/>
                <w:b/>
                <w:color w:val="000000"/>
                <w:sz w:val="20"/>
                <w:szCs w:val="20"/>
              </w:rPr>
            </w:pPr>
            <w:r>
              <w:rPr>
                <w:rFonts w:cs="宋体"/>
                <w:b/>
                <w:color w:val="000000"/>
                <w:sz w:val="20"/>
                <w:szCs w:val="20"/>
              </w:rPr>
              <w:t>总计</w:t>
            </w:r>
          </w:p>
        </w:tc>
        <w:tc>
          <w:tcPr>
            <w:tcW w:w="3442"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40" w:lineRule="exact"/>
              <w:jc w:val="right"/>
              <w:textAlignment w:val="center"/>
              <w:rPr>
                <w:rFonts w:hint="default" w:cs="宋体"/>
                <w:color w:val="000000"/>
                <w:sz w:val="20"/>
                <w:szCs w:val="20"/>
              </w:rPr>
            </w:pPr>
            <w:r>
              <w:rPr>
                <w:rFonts w:cs="宋体"/>
                <w:color w:val="000000"/>
                <w:sz w:val="20"/>
                <w:szCs w:val="20"/>
              </w:rPr>
              <w:t>159.69</w:t>
            </w:r>
            <w:r>
              <w:rPr>
                <w:color w:val="000000"/>
                <w:sz w:val="20"/>
                <w:u w:color="auto"/>
              </w:rPr>
              <w:t xml:space="preserve"> </w:t>
            </w:r>
          </w:p>
        </w:tc>
      </w:tr>
    </w:tbl>
    <w:p>
      <w:pPr>
        <w:spacing w:line="240" w:lineRule="exact"/>
        <w:rPr>
          <w:rFonts w:hint="default" w:cs="宋体"/>
          <w:sz w:val="20"/>
          <w:szCs w:val="20"/>
        </w:rPr>
      </w:pPr>
      <w:r>
        <w:rPr>
          <w:rFonts w:cs="宋体"/>
          <w:sz w:val="20"/>
          <w:szCs w:val="20"/>
        </w:rPr>
        <w:t>备注：1.本表反映单位本年度的总收支和年末结转结余情况。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tbl>
      <w:tblPr>
        <w:tblStyle w:val="7"/>
        <w:tblW w:w="15378" w:type="dxa"/>
        <w:tblInd w:w="0" w:type="dxa"/>
        <w:tblLayout w:type="fixed"/>
        <w:tblCellMar>
          <w:top w:w="0" w:type="dxa"/>
          <w:left w:w="0" w:type="dxa"/>
          <w:bottom w:w="0" w:type="dxa"/>
          <w:right w:w="0" w:type="dxa"/>
        </w:tblCellMar>
      </w:tblPr>
      <w:tblGrid>
        <w:gridCol w:w="1702"/>
        <w:gridCol w:w="3171"/>
        <w:gridCol w:w="1233"/>
        <w:gridCol w:w="1233"/>
        <w:gridCol w:w="1233"/>
        <w:gridCol w:w="1233"/>
        <w:gridCol w:w="1366"/>
        <w:gridCol w:w="1307"/>
        <w:gridCol w:w="1439"/>
        <w:gridCol w:w="1461"/>
      </w:tblGrid>
      <w:tr>
        <w:tblPrEx>
          <w:tblCellMar>
            <w:top w:w="0" w:type="dxa"/>
            <w:left w:w="0" w:type="dxa"/>
            <w:bottom w:w="0" w:type="dxa"/>
            <w:right w:w="0" w:type="dxa"/>
          </w:tblCellMar>
        </w:tblPrEx>
        <w:trPr>
          <w:trHeight w:val="641" w:hRule="atLeast"/>
        </w:trPr>
        <w:tc>
          <w:tcPr>
            <w:tcW w:w="15378" w:type="dxa"/>
            <w:gridSpan w:val="10"/>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收入决算表</w:t>
            </w:r>
          </w:p>
        </w:tc>
      </w:tr>
      <w:tr>
        <w:tblPrEx>
          <w:tblCellMar>
            <w:top w:w="0" w:type="dxa"/>
            <w:left w:w="0" w:type="dxa"/>
            <w:bottom w:w="0" w:type="dxa"/>
            <w:right w:w="0" w:type="dxa"/>
          </w:tblCellMar>
        </w:tblPrEx>
        <w:trPr>
          <w:trHeight w:val="328" w:hRule="atLeast"/>
        </w:trPr>
        <w:tc>
          <w:tcPr>
            <w:tcW w:w="6106"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sz w:val="20"/>
                <w:u w:color="auto"/>
              </w:rPr>
              <w:t>重庆市忠县官坝镇劳动就业和社会保障服务所</w:t>
            </w: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公开02表</w:t>
            </w:r>
          </w:p>
        </w:tc>
      </w:tr>
      <w:tr>
        <w:tblPrEx>
          <w:tblCellMar>
            <w:top w:w="0" w:type="dxa"/>
            <w:left w:w="0" w:type="dxa"/>
            <w:bottom w:w="0" w:type="dxa"/>
            <w:right w:w="0" w:type="dxa"/>
          </w:tblCellMar>
        </w:tblPrEx>
        <w:trPr>
          <w:trHeight w:val="328" w:hRule="atLeast"/>
        </w:trPr>
        <w:tc>
          <w:tcPr>
            <w:tcW w:w="6106"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233"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66"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3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3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461"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31" w:hRule="atLeast"/>
        </w:trPr>
        <w:tc>
          <w:tcPr>
            <w:tcW w:w="4873"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本年收入合计</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财政拨款收入</w:t>
            </w: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上级补助收入</w:t>
            </w:r>
          </w:p>
        </w:tc>
        <w:tc>
          <w:tcPr>
            <w:tcW w:w="259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事业收入</w:t>
            </w:r>
          </w:p>
        </w:tc>
        <w:tc>
          <w:tcPr>
            <w:tcW w:w="13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经营收入</w:t>
            </w:r>
          </w:p>
        </w:tc>
        <w:tc>
          <w:tcPr>
            <w:tcW w:w="14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附属单位上缴收入</w:t>
            </w:r>
          </w:p>
        </w:tc>
        <w:tc>
          <w:tcPr>
            <w:tcW w:w="146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其他收入</w:t>
            </w:r>
          </w:p>
        </w:tc>
      </w:tr>
      <w:tr>
        <w:tblPrEx>
          <w:tblCellMar>
            <w:top w:w="0" w:type="dxa"/>
            <w:left w:w="0" w:type="dxa"/>
            <w:bottom w:w="0" w:type="dxa"/>
            <w:right w:w="0" w:type="dxa"/>
          </w:tblCellMar>
        </w:tblPrEx>
        <w:trPr>
          <w:trHeight w:val="334" w:hRule="atLeast"/>
        </w:trPr>
        <w:tc>
          <w:tcPr>
            <w:tcW w:w="170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171"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小计</w:t>
            </w:r>
          </w:p>
        </w:tc>
        <w:tc>
          <w:tcPr>
            <w:tcW w:w="136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其中：教育收费</w:t>
            </w: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4" w:hRule="atLeast"/>
        </w:trPr>
        <w:tc>
          <w:tcPr>
            <w:tcW w:w="170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171"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23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6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3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46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4873"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159.69</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159.69</w:t>
            </w: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23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3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46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145.27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145.27</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132.43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132.43</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2080150</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132.43</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132.43</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12.84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12.84</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8.56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8.56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4.28</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4.28</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5.35</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5.35</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1.76</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48" w:hRule="atLeast"/>
        </w:trPr>
        <w:tc>
          <w:tcPr>
            <w:tcW w:w="170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17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7.00</w:t>
            </w: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2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6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3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4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ind w:left="600" w:hanging="600" w:hangingChars="300"/>
        <w:rPr>
          <w:rFonts w:hint="default" w:cs="宋体"/>
          <w:sz w:val="20"/>
          <w:szCs w:val="20"/>
        </w:rPr>
      </w:pPr>
      <w:r>
        <w:rPr>
          <w:rFonts w:cs="宋体"/>
          <w:sz w:val="20"/>
          <w:szCs w:val="20"/>
        </w:rPr>
        <w:t>备注：1.本表反映单位本年度取得的各项收入情况。</w:t>
      </w:r>
      <w:r>
        <w:rPr>
          <w:rFonts w:cs="宋体"/>
          <w:sz w:val="20"/>
          <w:szCs w:val="20"/>
        </w:rPr>
        <w:br w:type="textWrapping"/>
      </w:r>
      <w:r>
        <w:rPr>
          <w:rFonts w:cs="宋体"/>
          <w:sz w:val="20"/>
          <w:szCs w:val="20"/>
        </w:rPr>
        <w:t>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0"/>
          <w:szCs w:val="20"/>
        </w:rPr>
      </w:pPr>
      <w:r>
        <w:rPr>
          <w:rFonts w:cs="宋体"/>
          <w:sz w:val="20"/>
          <w:szCs w:val="20"/>
        </w:rPr>
        <w:br w:type="page"/>
      </w:r>
    </w:p>
    <w:tbl>
      <w:tblPr>
        <w:tblStyle w:val="7"/>
        <w:tblW w:w="15378" w:type="dxa"/>
        <w:tblInd w:w="0" w:type="dxa"/>
        <w:tblLayout w:type="fixed"/>
        <w:tblCellMar>
          <w:top w:w="0" w:type="dxa"/>
          <w:left w:w="0" w:type="dxa"/>
          <w:bottom w:w="0" w:type="dxa"/>
          <w:right w:w="0" w:type="dxa"/>
        </w:tblCellMar>
      </w:tblPr>
      <w:tblGrid>
        <w:gridCol w:w="1803"/>
        <w:gridCol w:w="3355"/>
        <w:gridCol w:w="1701"/>
        <w:gridCol w:w="1701"/>
        <w:gridCol w:w="1701"/>
        <w:gridCol w:w="1685"/>
        <w:gridCol w:w="1685"/>
        <w:gridCol w:w="1747"/>
      </w:tblGrid>
      <w:tr>
        <w:tblPrEx>
          <w:tblCellMar>
            <w:top w:w="0" w:type="dxa"/>
            <w:left w:w="0" w:type="dxa"/>
            <w:bottom w:w="0" w:type="dxa"/>
            <w:right w:w="0" w:type="dxa"/>
          </w:tblCellMar>
        </w:tblPrEx>
        <w:trPr>
          <w:trHeight w:val="65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支出决算表</w:t>
            </w:r>
          </w:p>
        </w:tc>
      </w:tr>
      <w:tr>
        <w:tblPrEx>
          <w:tblCellMar>
            <w:top w:w="0" w:type="dxa"/>
            <w:left w:w="0" w:type="dxa"/>
            <w:bottom w:w="0" w:type="dxa"/>
            <w:right w:w="0" w:type="dxa"/>
          </w:tblCellMar>
        </w:tblPrEx>
        <w:trPr>
          <w:trHeight w:val="342" w:hRule="atLeast"/>
        </w:trPr>
        <w:tc>
          <w:tcPr>
            <w:tcW w:w="685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 xml:space="preserve">重庆市忠县官坝镇劳动就业和社会保障服务所 </w:t>
            </w: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公开03表</w:t>
            </w:r>
          </w:p>
        </w:tc>
      </w:tr>
      <w:tr>
        <w:tblPrEx>
          <w:tblCellMar>
            <w:top w:w="0" w:type="dxa"/>
            <w:left w:w="0" w:type="dxa"/>
            <w:bottom w:w="0" w:type="dxa"/>
            <w:right w:w="0" w:type="dxa"/>
          </w:tblCellMar>
        </w:tblPrEx>
        <w:trPr>
          <w:trHeight w:val="342" w:hRule="atLeast"/>
        </w:trPr>
        <w:tc>
          <w:tcPr>
            <w:tcW w:w="685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1"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685"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47"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本年支出合计</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01"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上缴上级支出</w:t>
            </w:r>
          </w:p>
        </w:tc>
        <w:tc>
          <w:tcPr>
            <w:tcW w:w="168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经营支出</w:t>
            </w:r>
          </w:p>
        </w:tc>
        <w:tc>
          <w:tcPr>
            <w:tcW w:w="174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对附属单位补助支出</w:t>
            </w:r>
          </w:p>
        </w:tc>
      </w:tr>
      <w:tr>
        <w:tblPrEx>
          <w:tblCellMar>
            <w:top w:w="0" w:type="dxa"/>
            <w:left w:w="0" w:type="dxa"/>
            <w:bottom w:w="0" w:type="dxa"/>
            <w:right w:w="0" w:type="dxa"/>
          </w:tblCellMar>
        </w:tblPrEx>
        <w:trPr>
          <w:trHeight w:val="338" w:hRule="atLeast"/>
        </w:trPr>
        <w:tc>
          <w:tcPr>
            <w:tcW w:w="1803"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355"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8" w:hRule="atLeast"/>
        </w:trPr>
        <w:tc>
          <w:tcPr>
            <w:tcW w:w="1803"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3355"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1"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68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4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62" w:hRule="atLeast"/>
        </w:trPr>
        <w:tc>
          <w:tcPr>
            <w:tcW w:w="51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159.69</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159.69</w:t>
            </w:r>
            <w:r>
              <w:rPr>
                <w:b/>
                <w:color w:val="000000"/>
                <w:sz w:val="20"/>
                <w:u w:color="auto"/>
              </w:rPr>
              <w:t xml:space="preserve"> </w:t>
            </w:r>
          </w:p>
        </w:tc>
        <w:tc>
          <w:tcPr>
            <w:tcW w:w="170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68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4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0.32</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0.32</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145.27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145.27</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132.43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132.43</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2080150</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132.43</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132.43</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12.84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12.84</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8.56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8.56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4.28</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4.28</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7.11</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5.35</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5.35</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1.76</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b/>
                <w:color w:val="000000"/>
                <w:sz w:val="20"/>
                <w:szCs w:val="20"/>
              </w:rPr>
              <w:t>7.00</w:t>
            </w:r>
            <w:r>
              <w:rPr>
                <w:b/>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82" w:hRule="atLeast"/>
        </w:trPr>
        <w:tc>
          <w:tcPr>
            <w:tcW w:w="1803"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35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rFonts w:cs="宋体"/>
                <w:color w:val="000000"/>
                <w:sz w:val="20"/>
                <w:szCs w:val="20"/>
              </w:rPr>
              <w:t>7.00</w:t>
            </w:r>
            <w:r>
              <w:rPr>
                <w:color w:val="000000"/>
                <w:sz w:val="20"/>
                <w:u w:color="auto"/>
              </w:rPr>
              <w:t xml:space="preserve"> </w:t>
            </w:r>
          </w:p>
        </w:tc>
        <w:tc>
          <w:tcPr>
            <w:tcW w:w="170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6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c>
          <w:tcPr>
            <w:tcW w:w="1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color w:val="000000"/>
                <w:sz w:val="20"/>
                <w:szCs w:val="20"/>
              </w:rPr>
            </w:pPr>
            <w:r>
              <w:rPr>
                <w:color w:val="000000"/>
                <w:sz w:val="20"/>
                <w:u w:color="auto"/>
              </w:rPr>
              <w:t xml:space="preserve"> </w:t>
            </w:r>
          </w:p>
        </w:tc>
      </w:tr>
    </w:tbl>
    <w:p>
      <w:pPr>
        <w:rPr>
          <w:rFonts w:hint="default" w:cs="宋体"/>
          <w:sz w:val="20"/>
          <w:szCs w:val="20"/>
        </w:rPr>
      </w:pPr>
      <w:r>
        <w:rPr>
          <w:rFonts w:cs="宋体"/>
          <w:sz w:val="20"/>
          <w:szCs w:val="20"/>
        </w:rPr>
        <w:t>备注：1.本表反映单位本年度各项支出情况。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p>
      <w:pPr>
        <w:rPr>
          <w:rFonts w:hint="default" w:cs="宋体"/>
          <w:sz w:val="21"/>
          <w:szCs w:val="21"/>
        </w:rPr>
      </w:pPr>
    </w:p>
    <w:tbl>
      <w:tblPr>
        <w:tblStyle w:val="7"/>
        <w:tblW w:w="14732" w:type="dxa"/>
        <w:tblInd w:w="0" w:type="dxa"/>
        <w:tblLayout w:type="fixed"/>
        <w:tblCellMar>
          <w:top w:w="0" w:type="dxa"/>
          <w:left w:w="0" w:type="dxa"/>
          <w:bottom w:w="0" w:type="dxa"/>
          <w:right w:w="0" w:type="dxa"/>
        </w:tblCellMar>
      </w:tblPr>
      <w:tblGrid>
        <w:gridCol w:w="2979"/>
        <w:gridCol w:w="1526"/>
        <w:gridCol w:w="3191"/>
        <w:gridCol w:w="1700"/>
        <w:gridCol w:w="1700"/>
        <w:gridCol w:w="1700"/>
        <w:gridCol w:w="1936"/>
      </w:tblGrid>
      <w:tr>
        <w:tblPrEx>
          <w:tblCellMar>
            <w:top w:w="0" w:type="dxa"/>
            <w:left w:w="0" w:type="dxa"/>
            <w:bottom w:w="0" w:type="dxa"/>
            <w:right w:w="0" w:type="dxa"/>
          </w:tblCellMar>
        </w:tblPrEx>
        <w:trPr>
          <w:trHeight w:val="90" w:hRule="atLeast"/>
        </w:trPr>
        <w:tc>
          <w:tcPr>
            <w:tcW w:w="14732" w:type="dxa"/>
            <w:gridSpan w:val="7"/>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财政拨款收入支出决算总表</w:t>
            </w:r>
          </w:p>
        </w:tc>
      </w:tr>
      <w:tr>
        <w:tblPrEx>
          <w:tblCellMar>
            <w:top w:w="0" w:type="dxa"/>
            <w:left w:w="0" w:type="dxa"/>
            <w:bottom w:w="0" w:type="dxa"/>
            <w:right w:w="0" w:type="dxa"/>
          </w:tblCellMar>
        </w:tblPrEx>
        <w:trPr>
          <w:trHeight w:val="90" w:hRule="atLeast"/>
        </w:trPr>
        <w:tc>
          <w:tcPr>
            <w:tcW w:w="7696" w:type="dxa"/>
            <w:gridSpan w:val="3"/>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重庆市忠县官坝镇劳动就业和社会保障服务所</w:t>
            </w: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40" w:lineRule="exact"/>
              <w:jc w:val="right"/>
              <w:textAlignment w:val="bottom"/>
              <w:rPr>
                <w:rFonts w:hint="default" w:cs="宋体"/>
                <w:color w:val="000000"/>
                <w:sz w:val="20"/>
                <w:szCs w:val="20"/>
              </w:rPr>
            </w:pPr>
            <w:r>
              <w:rPr>
                <w:rFonts w:cs="宋体"/>
                <w:color w:val="000000"/>
                <w:sz w:val="20"/>
                <w:szCs w:val="20"/>
              </w:rPr>
              <w:t>公开04表</w:t>
            </w:r>
          </w:p>
        </w:tc>
      </w:tr>
      <w:tr>
        <w:tblPrEx>
          <w:tblCellMar>
            <w:top w:w="0" w:type="dxa"/>
            <w:left w:w="0" w:type="dxa"/>
            <w:bottom w:w="0" w:type="dxa"/>
            <w:right w:w="0" w:type="dxa"/>
          </w:tblCellMar>
        </w:tblPrEx>
        <w:trPr>
          <w:trHeight w:val="90" w:hRule="atLeast"/>
        </w:trPr>
        <w:tc>
          <w:tcPr>
            <w:tcW w:w="7696" w:type="dxa"/>
            <w:gridSpan w:val="3"/>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4505"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收     入</w:t>
            </w:r>
          </w:p>
        </w:tc>
        <w:tc>
          <w:tcPr>
            <w:tcW w:w="10227"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支     出</w:t>
            </w:r>
          </w:p>
        </w:tc>
      </w:tr>
      <w:tr>
        <w:tblPrEx>
          <w:tblCellMar>
            <w:top w:w="0" w:type="dxa"/>
            <w:left w:w="0" w:type="dxa"/>
            <w:bottom w:w="0" w:type="dxa"/>
            <w:right w:w="0" w:type="dxa"/>
          </w:tblCellMar>
        </w:tblPrEx>
        <w:trPr>
          <w:trHeight w:val="90" w:hRule="atLeast"/>
        </w:trPr>
        <w:tc>
          <w:tcPr>
            <w:tcW w:w="297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项目</w:t>
            </w:r>
          </w:p>
        </w:tc>
        <w:tc>
          <w:tcPr>
            <w:tcW w:w="152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c>
          <w:tcPr>
            <w:tcW w:w="319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功能分类科目</w:t>
            </w:r>
          </w:p>
        </w:tc>
        <w:tc>
          <w:tcPr>
            <w:tcW w:w="703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决算数</w:t>
            </w:r>
          </w:p>
        </w:tc>
      </w:tr>
      <w:tr>
        <w:tblPrEx>
          <w:tblCellMar>
            <w:top w:w="0" w:type="dxa"/>
            <w:left w:w="0" w:type="dxa"/>
            <w:bottom w:w="0" w:type="dxa"/>
            <w:right w:w="0" w:type="dxa"/>
          </w:tblCellMar>
        </w:tblPrEx>
        <w:trPr>
          <w:trHeight w:val="90" w:hRule="atLeast"/>
        </w:trPr>
        <w:tc>
          <w:tcPr>
            <w:tcW w:w="297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52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19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小计</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一般公共预算财政拨款</w:t>
            </w:r>
          </w:p>
        </w:tc>
        <w:tc>
          <w:tcPr>
            <w:tcW w:w="170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政府性基金预算财政拨款</w:t>
            </w:r>
          </w:p>
        </w:tc>
        <w:tc>
          <w:tcPr>
            <w:tcW w:w="1936"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国有资本经营预算财政拨款</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一、一般公共服务支出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二、外交支出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三、国防支出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四、公共安全支出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五、教育支出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0.32</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六、科学技术支出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七、文化旅游体育与传媒支出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八、社会保障和就业支出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145.27</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145.27</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九、卫生健康支出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7.11</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十、节能环保支出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十一、城乡社区支出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十二、农林水支出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十三、交通运输支出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十四、资源勘探工业信息等支出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十五、商业服务业等支出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十六、金融支出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十七、援助其他地区支出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十八、自然资源海洋气象等支出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十九、住房保障支出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7.00</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7.00</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二十、粮油物资储备支出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二十一、国有资本经营预算支出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二十二、灾害防治及应急管理支出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二十三、其他支出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二十四、债务还本支出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二十五、债务付息支出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二十六、抗疫特别国债安排的支出</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本年收入合计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本年支出合计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年初财政拨款结转和结余</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年末财政拨款结转和结余</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一般公共预算财政拨款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政府性基金预算财政拨款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国有资本经营预算财政拨款</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rPr>
                <w:rFonts w:hint="default" w:cs="宋体"/>
                <w:b/>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297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52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3191"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总计</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159.69</w:t>
            </w:r>
            <w:r>
              <w:rPr>
                <w:color w:val="000000"/>
                <w:sz w:val="18"/>
                <w:u w:color="auto"/>
              </w:rPr>
              <w:t xml:space="preserve"> </w:t>
            </w:r>
          </w:p>
        </w:tc>
        <w:tc>
          <w:tcPr>
            <w:tcW w:w="170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bl>
    <w:p>
      <w:pPr>
        <w:spacing w:line="240" w:lineRule="exact"/>
        <w:rPr>
          <w:rFonts w:hint="default" w:cs="宋体"/>
          <w:sz w:val="20"/>
          <w:szCs w:val="20"/>
        </w:rPr>
      </w:pPr>
      <w:r>
        <w:rPr>
          <w:rFonts w:cs="宋体"/>
          <w:sz w:val="20"/>
          <w:szCs w:val="20"/>
        </w:rPr>
        <w:t>备注：1.本表反映单位本年度一般公共预算财政拨款、政府性基金预算财政拨款及国有资本经营预算财政拨款的总收支和年末结转结余情况。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7"/>
        <w:gridCol w:w="3549"/>
        <w:gridCol w:w="3319"/>
        <w:gridCol w:w="3319"/>
        <w:gridCol w:w="3334"/>
      </w:tblGrid>
      <w:tr>
        <w:tblPrEx>
          <w:tblCellMar>
            <w:top w:w="0" w:type="dxa"/>
            <w:left w:w="0" w:type="dxa"/>
            <w:bottom w:w="0" w:type="dxa"/>
            <w:right w:w="0" w:type="dxa"/>
          </w:tblCellMar>
        </w:tblPrEx>
        <w:trPr>
          <w:trHeight w:val="510" w:hRule="atLeast"/>
        </w:trPr>
        <w:tc>
          <w:tcPr>
            <w:tcW w:w="15378" w:type="dxa"/>
            <w:gridSpan w:val="5"/>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一般公共预算财政拨款支出决算表</w:t>
            </w:r>
          </w:p>
        </w:tc>
      </w:tr>
      <w:tr>
        <w:tblPrEx>
          <w:tblCellMar>
            <w:top w:w="0" w:type="dxa"/>
            <w:left w:w="0" w:type="dxa"/>
            <w:bottom w:w="0" w:type="dxa"/>
            <w:right w:w="0" w:type="dxa"/>
          </w:tblCellMar>
        </w:tblPrEx>
        <w:trPr>
          <w:trHeight w:val="255" w:hRule="atLeast"/>
        </w:trPr>
        <w:tc>
          <w:tcPr>
            <w:tcW w:w="8725"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重庆市忠县官坝镇劳动就业和社会保障服务所</w:t>
            </w: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公开05表</w:t>
            </w:r>
          </w:p>
        </w:tc>
      </w:tr>
      <w:tr>
        <w:tblPrEx>
          <w:tblCellMar>
            <w:top w:w="0" w:type="dxa"/>
            <w:left w:w="0" w:type="dxa"/>
            <w:bottom w:w="0" w:type="dxa"/>
            <w:right w:w="0" w:type="dxa"/>
          </w:tblCellMar>
        </w:tblPrEx>
        <w:trPr>
          <w:trHeight w:val="285" w:hRule="atLeast"/>
        </w:trPr>
        <w:tc>
          <w:tcPr>
            <w:tcW w:w="8725"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19"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334"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08" w:hRule="atLeast"/>
        </w:trPr>
        <w:tc>
          <w:tcPr>
            <w:tcW w:w="5406"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9972"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26" w:hRule="atLeast"/>
        </w:trPr>
        <w:tc>
          <w:tcPr>
            <w:tcW w:w="1857"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54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33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26"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5" w:hRule="atLeast"/>
        </w:trPr>
        <w:tc>
          <w:tcPr>
            <w:tcW w:w="1857"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54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1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33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08" w:hRule="atLeast"/>
        </w:trPr>
        <w:tc>
          <w:tcPr>
            <w:tcW w:w="5406"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159.69</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bCs/>
                <w:color w:val="000000"/>
                <w:sz w:val="20"/>
                <w:szCs w:val="20"/>
              </w:rPr>
              <w:t>159.69</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教育支出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0.32</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0.32</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20508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进修及培训</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0.32</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0.32</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2050803</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培训支出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0.32</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社会保障和就业支出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145.27</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145.27</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人力资源和社会保障管理事务</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132.43</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132.43</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2080150</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事业运行</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132.43</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132.43</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20805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行政事业单位养老支出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12.84</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12.84</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2080505</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机关事业单位基本养老保险缴费支出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8.56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8.56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2080506</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机关事业单位职业年金缴费支出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4.28</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4.28</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卫生健康支出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21011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行政事业单位医疗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7.11</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7.11</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事业单位医疗</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5.35</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5.35</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2101199</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其他行政事业单位医疗支出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1.76</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1.76</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住房保障支出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7.00</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7.00</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22102</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b/>
                <w:color w:val="000000"/>
                <w:sz w:val="20"/>
                <w:szCs w:val="20"/>
              </w:rPr>
              <w:t>住房改革支出</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7.00</w:t>
            </w:r>
            <w:r>
              <w:rPr>
                <w:b/>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b/>
                <w:color w:val="000000"/>
                <w:sz w:val="20"/>
                <w:szCs w:val="20"/>
              </w:rPr>
              <w:t>7.00</w:t>
            </w:r>
            <w:r>
              <w:rPr>
                <w:b/>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r>
        <w:tblPrEx>
          <w:tblCellMar>
            <w:top w:w="0" w:type="dxa"/>
            <w:left w:w="0" w:type="dxa"/>
            <w:bottom w:w="0" w:type="dxa"/>
            <w:right w:w="0" w:type="dxa"/>
          </w:tblCellMar>
        </w:tblPrEx>
        <w:trPr>
          <w:trHeight w:val="308" w:hRule="atLeast"/>
        </w:trPr>
        <w:tc>
          <w:tcPr>
            <w:tcW w:w="1857"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2210201</w:t>
            </w:r>
          </w:p>
        </w:tc>
        <w:tc>
          <w:tcPr>
            <w:tcW w:w="354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textAlignment w:val="center"/>
              <w:rPr>
                <w:rFonts w:hint="default" w:cs="宋体"/>
                <w:color w:val="000000"/>
                <w:sz w:val="20"/>
                <w:szCs w:val="20"/>
              </w:rPr>
            </w:pPr>
            <w:r>
              <w:rPr>
                <w:rFonts w:cs="宋体"/>
                <w:color w:val="000000"/>
                <w:sz w:val="20"/>
                <w:szCs w:val="20"/>
              </w:rPr>
              <w:t>住房公积金</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7.00</w:t>
            </w:r>
            <w:r>
              <w:rPr>
                <w:color w:val="000000"/>
                <w:sz w:val="20"/>
                <w:u w:color="auto"/>
              </w:rPr>
              <w:t xml:space="preserve"> </w:t>
            </w:r>
          </w:p>
        </w:tc>
        <w:tc>
          <w:tcPr>
            <w:tcW w:w="331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rFonts w:cs="宋体"/>
                <w:color w:val="000000"/>
                <w:sz w:val="20"/>
                <w:szCs w:val="20"/>
              </w:rPr>
              <w:t>7.00</w:t>
            </w:r>
            <w:r>
              <w:rPr>
                <w:color w:val="000000"/>
                <w:sz w:val="20"/>
                <w:u w:color="auto"/>
              </w:rPr>
              <w:t xml:space="preserve"> </w:t>
            </w:r>
          </w:p>
        </w:tc>
        <w:tc>
          <w:tcPr>
            <w:tcW w:w="333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color w:val="000000"/>
                <w:sz w:val="20"/>
                <w:u w:color="auto"/>
              </w:rPr>
              <w:t xml:space="preserve"> </w:t>
            </w:r>
          </w:p>
        </w:tc>
      </w:tr>
    </w:tbl>
    <w:p>
      <w:pPr>
        <w:rPr>
          <w:rFonts w:hint="default" w:cs="宋体"/>
          <w:sz w:val="21"/>
          <w:szCs w:val="21"/>
        </w:rPr>
      </w:pPr>
      <w:r>
        <w:rPr>
          <w:rFonts w:cs="宋体"/>
          <w:sz w:val="20"/>
          <w:szCs w:val="20"/>
        </w:rPr>
        <w:t>备注：1.本表反映单位本年度一般公共预算财政拨款支出情况。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p>
      <w:pPr>
        <w:ind w:firstLine="630" w:firstLineChars="300"/>
        <w:rPr>
          <w:rFonts w:hint="default" w:cs="宋体"/>
          <w:sz w:val="21"/>
          <w:szCs w:val="21"/>
        </w:rPr>
      </w:pPr>
      <w:r>
        <w:rPr>
          <w:rFonts w:cs="宋体"/>
          <w:sz w:val="21"/>
          <w:szCs w:val="21"/>
        </w:rPr>
        <w:br w:type="page"/>
      </w:r>
    </w:p>
    <w:tbl>
      <w:tblPr>
        <w:tblStyle w:val="7"/>
        <w:tblW w:w="15360" w:type="dxa"/>
        <w:tblInd w:w="0" w:type="dxa"/>
        <w:tblLayout w:type="fixed"/>
        <w:tblCellMar>
          <w:top w:w="0" w:type="dxa"/>
          <w:left w:w="0" w:type="dxa"/>
          <w:bottom w:w="0" w:type="dxa"/>
          <w:right w:w="0" w:type="dxa"/>
        </w:tblCellMar>
      </w:tblPr>
      <w:tblGrid>
        <w:gridCol w:w="605"/>
        <w:gridCol w:w="2740"/>
        <w:gridCol w:w="1376"/>
        <w:gridCol w:w="836"/>
        <w:gridCol w:w="1923"/>
        <w:gridCol w:w="1656"/>
        <w:gridCol w:w="808"/>
        <w:gridCol w:w="3527"/>
        <w:gridCol w:w="1889"/>
      </w:tblGrid>
      <w:tr>
        <w:tblPrEx>
          <w:tblCellMar>
            <w:top w:w="0" w:type="dxa"/>
            <w:left w:w="0" w:type="dxa"/>
            <w:bottom w:w="0" w:type="dxa"/>
            <w:right w:w="0" w:type="dxa"/>
          </w:tblCellMar>
        </w:tblPrEx>
        <w:trPr>
          <w:trHeight w:val="90" w:hRule="atLeast"/>
        </w:trPr>
        <w:tc>
          <w:tcPr>
            <w:tcW w:w="15360" w:type="dxa"/>
            <w:gridSpan w:val="9"/>
            <w:tcBorders>
              <w:top w:val="nil"/>
              <w:left w:val="nil"/>
              <w:bottom w:val="nil"/>
              <w:right w:val="nil"/>
            </w:tcBorders>
            <w:shd w:val="clear" w:color="auto" w:fill="auto"/>
            <w:noWrap/>
            <w:tcMar>
              <w:top w:w="15" w:type="dxa"/>
              <w:left w:w="15" w:type="dxa"/>
              <w:right w:w="15" w:type="dxa"/>
            </w:tcMar>
            <w:vAlign w:val="bottom"/>
          </w:tcPr>
          <w:p>
            <w:pPr>
              <w:spacing w:line="440" w:lineRule="exact"/>
              <w:jc w:val="center"/>
              <w:textAlignment w:val="bottom"/>
              <w:rPr>
                <w:rFonts w:hint="default" w:cs="宋体"/>
                <w:b/>
                <w:color w:val="000000"/>
                <w:sz w:val="32"/>
                <w:szCs w:val="32"/>
              </w:rPr>
            </w:pPr>
            <w:r>
              <w:rPr>
                <w:rFonts w:cs="宋体"/>
                <w:b/>
                <w:color w:val="000000"/>
                <w:sz w:val="32"/>
                <w:szCs w:val="32"/>
              </w:rPr>
              <w:t>一般公共预算财政拨款基本支出决算表</w:t>
            </w:r>
          </w:p>
        </w:tc>
      </w:tr>
      <w:tr>
        <w:tblPrEx>
          <w:tblCellMar>
            <w:top w:w="0" w:type="dxa"/>
            <w:left w:w="0" w:type="dxa"/>
            <w:bottom w:w="0" w:type="dxa"/>
            <w:right w:w="0" w:type="dxa"/>
          </w:tblCellMar>
        </w:tblPrEx>
        <w:trPr>
          <w:trHeight w:val="90" w:hRule="atLeast"/>
        </w:trPr>
        <w:tc>
          <w:tcPr>
            <w:tcW w:w="5557" w:type="dxa"/>
            <w:gridSpan w:val="4"/>
            <w:vMerge w:val="restart"/>
            <w:tcBorders>
              <w:top w:val="nil"/>
              <w:left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r>
              <w:rPr>
                <w:rFonts w:cs="宋体"/>
                <w:sz w:val="20"/>
                <w:szCs w:val="20"/>
              </w:rPr>
              <w:t>公开单位</w:t>
            </w:r>
            <w:r>
              <w:rPr>
                <w:rFonts w:cs="宋体"/>
                <w:color w:val="000000"/>
                <w:sz w:val="20"/>
                <w:szCs w:val="20"/>
              </w:rPr>
              <w:t xml:space="preserve">： </w:t>
            </w:r>
            <w:r>
              <w:rPr>
                <w:color w:val="000000"/>
                <w:sz w:val="20"/>
                <w:u w:color="auto"/>
              </w:rPr>
              <w:t>重庆市忠县官坝镇劳动就业和社会保障服务所</w:t>
            </w: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公开06表</w:t>
            </w:r>
          </w:p>
        </w:tc>
      </w:tr>
      <w:tr>
        <w:tblPrEx>
          <w:tblCellMar>
            <w:top w:w="0" w:type="dxa"/>
            <w:left w:w="0" w:type="dxa"/>
            <w:bottom w:w="0" w:type="dxa"/>
            <w:right w:w="0" w:type="dxa"/>
          </w:tblCellMar>
        </w:tblPrEx>
        <w:trPr>
          <w:trHeight w:val="90" w:hRule="atLeast"/>
        </w:trPr>
        <w:tc>
          <w:tcPr>
            <w:tcW w:w="5557" w:type="dxa"/>
            <w:gridSpan w:val="4"/>
            <w:vMerge w:val="continue"/>
            <w:tcBorders>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923"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656"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08"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3527" w:type="dxa"/>
            <w:tcBorders>
              <w:top w:val="nil"/>
              <w:left w:val="nil"/>
              <w:bottom w:val="nil"/>
              <w:right w:val="nil"/>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1889"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90" w:hRule="atLeast"/>
        </w:trPr>
        <w:tc>
          <w:tcPr>
            <w:tcW w:w="4721"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w:t>
            </w:r>
          </w:p>
        </w:tc>
        <w:tc>
          <w:tcPr>
            <w:tcW w:w="10639"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w:t>
            </w:r>
          </w:p>
        </w:tc>
      </w:tr>
      <w:tr>
        <w:tblPrEx>
          <w:tblCellMar>
            <w:top w:w="0" w:type="dxa"/>
            <w:left w:w="0" w:type="dxa"/>
            <w:bottom w:w="0" w:type="dxa"/>
            <w:right w:w="0" w:type="dxa"/>
          </w:tblCellMar>
        </w:tblPrEx>
        <w:trPr>
          <w:trHeight w:val="312" w:hRule="atLeast"/>
        </w:trPr>
        <w:tc>
          <w:tcPr>
            <w:tcW w:w="605"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274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37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19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656"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c>
          <w:tcPr>
            <w:tcW w:w="808"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经济分类科目编码</w:t>
            </w:r>
          </w:p>
        </w:tc>
        <w:tc>
          <w:tcPr>
            <w:tcW w:w="352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经济分类科目（按“款”级功能分类科目）</w:t>
            </w:r>
          </w:p>
        </w:tc>
        <w:tc>
          <w:tcPr>
            <w:tcW w:w="188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金额</w:t>
            </w:r>
          </w:p>
        </w:tc>
      </w:tr>
      <w:tr>
        <w:tblPrEx>
          <w:tblCellMar>
            <w:top w:w="0" w:type="dxa"/>
            <w:left w:w="0" w:type="dxa"/>
            <w:bottom w:w="0" w:type="dxa"/>
            <w:right w:w="0" w:type="dxa"/>
          </w:tblCellMar>
        </w:tblPrEx>
        <w:trPr>
          <w:trHeight w:val="312" w:hRule="atLeast"/>
        </w:trPr>
        <w:tc>
          <w:tcPr>
            <w:tcW w:w="605"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274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37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9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656"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808"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352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c>
          <w:tcPr>
            <w:tcW w:w="188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spacing w:line="200" w:lineRule="exact"/>
              <w:jc w:val="center"/>
              <w:rPr>
                <w:rFonts w:hint="default" w:cs="宋体"/>
                <w:b/>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144.26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15.44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基本工资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28.16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1.10</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房屋建筑物购建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津贴补贴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5.92</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印刷费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办公设备购置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咨询费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专用设备购置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伙食补助费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手续费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基础设施建设</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绩效工资</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82.46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水费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0.16</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31006</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大型修缮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机关事业单位基本养老保险缴费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8.56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信息网络及软件购置更新</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职业年金缴费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4.28</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邮电费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0.35</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物资储备</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职工基本医疗保险缴费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5.35</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取暖费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土地补偿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公务员医疗补助缴费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30209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物业管理费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安置补助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其他社会保障缴费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0.76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差旅费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6.53</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地上附着物和青苗补偿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住房公积金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7.00</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因公出国（境）费用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拆迁补偿</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30114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1.76</w:t>
            </w: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维修（护）费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30199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其他工资福利支出</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租赁费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31019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其他交通工具购置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会议费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文物和陈列品购置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离休费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培训费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0.34</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31022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无形资产购置</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30302</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退休费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公务接待费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0.19</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31099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其他资本性支出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30303</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退职（役）费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30218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专用材料费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30304</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抚恤金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被装购置费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31201</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资本金注入</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30305</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生活补助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30225</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专用燃料费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31203</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政府投资基金股权投资</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30306</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救济费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30226</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劳务费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31204</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费用补贴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30307</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医疗费补助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委托业务费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31205</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利息补贴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30308</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助学金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30228</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工会经费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2.02</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31299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其他对企业补助</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30309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奖励金</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30229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福利费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0.97</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30310</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个人农业生产补贴</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公务用车运行维护费</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39907</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国家赔偿费用支出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30311</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代缴社会保险费</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30239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其他交通费用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39908</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对民间非营利组织和群众性自治组织补贴</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30399</w:t>
            </w: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其他对个人和家庭的补助</w:t>
            </w: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30240</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税金及附加费用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39909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经常性赠与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30299</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其他商品和服务支出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3.78</w:t>
            </w: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39910</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资本性赠与</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债务利息及费用支出</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39999</w:t>
            </w: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其他支出</w:t>
            </w: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30701</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30702</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国外债务付息</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30703</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国内债务发行费用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60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274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37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spacing w:line="200" w:lineRule="exact"/>
              <w:rPr>
                <w:rFonts w:hint="default" w:cs="宋体"/>
                <w:color w:val="000000"/>
                <w:sz w:val="18"/>
                <w:szCs w:val="18"/>
              </w:rPr>
            </w:pPr>
          </w:p>
        </w:tc>
        <w:tc>
          <w:tcPr>
            <w:tcW w:w="836"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30704</w:t>
            </w:r>
          </w:p>
        </w:tc>
        <w:tc>
          <w:tcPr>
            <w:tcW w:w="1923"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8"/>
                <w:szCs w:val="18"/>
              </w:rPr>
            </w:pPr>
            <w:r>
              <w:rPr>
                <w:rFonts w:cs="宋体"/>
                <w:color w:val="000000"/>
                <w:sz w:val="18"/>
                <w:szCs w:val="18"/>
              </w:rPr>
              <w:t xml:space="preserve">  国外债务发行费用</w:t>
            </w:r>
          </w:p>
        </w:tc>
        <w:tc>
          <w:tcPr>
            <w:tcW w:w="165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color w:val="000000"/>
                <w:sz w:val="18"/>
                <w:u w:color="auto"/>
              </w:rPr>
              <w:t xml:space="preserve"> </w:t>
            </w:r>
          </w:p>
        </w:tc>
        <w:tc>
          <w:tcPr>
            <w:tcW w:w="80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3527"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rPr>
                <w:rFonts w:hint="default" w:cs="宋体"/>
                <w:color w:val="000000"/>
                <w:sz w:val="18"/>
                <w:szCs w:val="18"/>
              </w:rPr>
            </w:pPr>
          </w:p>
        </w:tc>
        <w:tc>
          <w:tcPr>
            <w:tcW w:w="188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200" w:lineRule="exact"/>
              <w:jc w:val="right"/>
              <w:rPr>
                <w:rFonts w:hint="default" w:cs="宋体"/>
                <w:color w:val="000000"/>
                <w:sz w:val="18"/>
                <w:szCs w:val="18"/>
              </w:rPr>
            </w:pPr>
          </w:p>
        </w:tc>
      </w:tr>
      <w:tr>
        <w:tblPrEx>
          <w:tblCellMar>
            <w:top w:w="0" w:type="dxa"/>
            <w:left w:w="0" w:type="dxa"/>
            <w:bottom w:w="0" w:type="dxa"/>
            <w:right w:w="0" w:type="dxa"/>
          </w:tblCellMar>
        </w:tblPrEx>
        <w:trPr>
          <w:trHeight w:val="90" w:hRule="atLeast"/>
        </w:trPr>
        <w:tc>
          <w:tcPr>
            <w:tcW w:w="3345"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人员经费合计</w:t>
            </w:r>
          </w:p>
        </w:tc>
        <w:tc>
          <w:tcPr>
            <w:tcW w:w="1376"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pPr>
              <w:wordWrap w:val="0"/>
              <w:spacing w:line="200" w:lineRule="exact"/>
              <w:jc w:val="right"/>
              <w:textAlignment w:val="bottom"/>
              <w:rPr>
                <w:rFonts w:hint="default" w:cs="宋体"/>
                <w:color w:val="000000"/>
                <w:sz w:val="18"/>
                <w:szCs w:val="18"/>
              </w:rPr>
            </w:pPr>
            <w:r>
              <w:rPr>
                <w:rFonts w:cs="宋体"/>
                <w:color w:val="000000"/>
                <w:sz w:val="18"/>
                <w:szCs w:val="18"/>
              </w:rPr>
              <w:t>144.26</w:t>
            </w:r>
            <w:r>
              <w:rPr>
                <w:color w:val="000000"/>
                <w:sz w:val="18"/>
                <w:u w:color="auto"/>
              </w:rPr>
              <w:t xml:space="preserve"> </w:t>
            </w:r>
          </w:p>
        </w:tc>
        <w:tc>
          <w:tcPr>
            <w:tcW w:w="8750"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8"/>
                <w:szCs w:val="18"/>
              </w:rPr>
            </w:pPr>
            <w:r>
              <w:rPr>
                <w:rFonts w:cs="宋体"/>
                <w:b/>
                <w:color w:val="000000"/>
                <w:sz w:val="18"/>
                <w:szCs w:val="18"/>
              </w:rPr>
              <w:t>公用经费合计</w:t>
            </w:r>
          </w:p>
        </w:tc>
        <w:tc>
          <w:tcPr>
            <w:tcW w:w="188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spacing w:line="200" w:lineRule="exact"/>
              <w:jc w:val="right"/>
              <w:textAlignment w:val="center"/>
              <w:rPr>
                <w:rFonts w:hint="default" w:cs="宋体"/>
                <w:color w:val="000000"/>
                <w:sz w:val="18"/>
                <w:szCs w:val="18"/>
              </w:rPr>
            </w:pPr>
            <w:r>
              <w:rPr>
                <w:rFonts w:cs="宋体"/>
                <w:color w:val="000000"/>
                <w:sz w:val="18"/>
                <w:szCs w:val="18"/>
              </w:rPr>
              <w:t>15.44</w:t>
            </w:r>
            <w:r>
              <w:rPr>
                <w:color w:val="000000"/>
                <w:sz w:val="18"/>
                <w:u w:color="auto"/>
              </w:rPr>
              <w:t xml:space="preserve"> </w:t>
            </w:r>
          </w:p>
        </w:tc>
      </w:tr>
    </w:tbl>
    <w:p>
      <w:pPr>
        <w:spacing w:line="280" w:lineRule="exact"/>
        <w:rPr>
          <w:rFonts w:hint="default" w:cs="宋体"/>
          <w:sz w:val="20"/>
          <w:szCs w:val="20"/>
        </w:rPr>
      </w:pPr>
      <w:r>
        <w:rPr>
          <w:rFonts w:cs="宋体"/>
          <w:sz w:val="20"/>
          <w:szCs w:val="20"/>
        </w:rPr>
        <w:t>备注：1.本表反映单位本年度一般公共预算财政拨款基本支出明细情况。</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54"/>
        <w:gridCol w:w="3088"/>
        <w:gridCol w:w="1707"/>
        <w:gridCol w:w="1707"/>
        <w:gridCol w:w="1707"/>
        <w:gridCol w:w="1707"/>
        <w:gridCol w:w="1772"/>
        <w:gridCol w:w="1836"/>
      </w:tblGrid>
      <w:tr>
        <w:tblPrEx>
          <w:tblCellMar>
            <w:top w:w="0" w:type="dxa"/>
            <w:left w:w="0" w:type="dxa"/>
            <w:bottom w:w="0" w:type="dxa"/>
            <w:right w:w="0" w:type="dxa"/>
          </w:tblCellMar>
        </w:tblPrEx>
        <w:trPr>
          <w:trHeight w:val="644" w:hRule="atLeast"/>
        </w:trPr>
        <w:tc>
          <w:tcPr>
            <w:tcW w:w="15378" w:type="dxa"/>
            <w:gridSpan w:val="8"/>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政府性基金预算财政拨款收入支出决算表</w:t>
            </w:r>
          </w:p>
        </w:tc>
      </w:tr>
      <w:tr>
        <w:tblPrEx>
          <w:tblCellMar>
            <w:top w:w="0" w:type="dxa"/>
            <w:left w:w="0" w:type="dxa"/>
            <w:bottom w:w="0" w:type="dxa"/>
            <w:right w:w="0" w:type="dxa"/>
          </w:tblCellMar>
        </w:tblPrEx>
        <w:trPr>
          <w:trHeight w:val="329" w:hRule="atLeast"/>
        </w:trPr>
        <w:tc>
          <w:tcPr>
            <w:tcW w:w="6649"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重庆市忠县官坝镇劳动就业和社会保障服务所</w:t>
            </w: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公开07表</w:t>
            </w:r>
          </w:p>
        </w:tc>
      </w:tr>
      <w:tr>
        <w:tblPrEx>
          <w:tblCellMar>
            <w:top w:w="0" w:type="dxa"/>
            <w:left w:w="0" w:type="dxa"/>
            <w:bottom w:w="0" w:type="dxa"/>
            <w:right w:w="0" w:type="dxa"/>
          </w:tblCellMar>
        </w:tblPrEx>
        <w:trPr>
          <w:trHeight w:val="329" w:hRule="atLeast"/>
        </w:trPr>
        <w:tc>
          <w:tcPr>
            <w:tcW w:w="6649"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07"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772" w:type="dxa"/>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1836"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339"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w:t>
            </w:r>
          </w:p>
        </w:tc>
        <w:tc>
          <w:tcPr>
            <w:tcW w:w="1707"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年初结转和结余</w:t>
            </w:r>
          </w:p>
        </w:tc>
        <w:tc>
          <w:tcPr>
            <w:tcW w:w="1707"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本年收入</w:t>
            </w:r>
          </w:p>
        </w:tc>
        <w:tc>
          <w:tcPr>
            <w:tcW w:w="5186"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本年支出</w:t>
            </w:r>
          </w:p>
        </w:tc>
        <w:tc>
          <w:tcPr>
            <w:tcW w:w="18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年末结转和结余</w:t>
            </w:r>
          </w:p>
        </w:tc>
      </w:tr>
      <w:tr>
        <w:tblPrEx>
          <w:tblCellMar>
            <w:top w:w="0" w:type="dxa"/>
            <w:left w:w="0" w:type="dxa"/>
            <w:bottom w:w="0" w:type="dxa"/>
            <w:right w:w="0" w:type="dxa"/>
          </w:tblCellMar>
        </w:tblPrEx>
        <w:trPr>
          <w:trHeight w:val="335" w:hRule="atLeast"/>
        </w:trPr>
        <w:tc>
          <w:tcPr>
            <w:tcW w:w="185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8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项目（按“项”级功能分类科目）</w:t>
            </w: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177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45" w:hRule="atLeast"/>
        </w:trPr>
        <w:tc>
          <w:tcPr>
            <w:tcW w:w="185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8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0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77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18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4942"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0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77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18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备注：本表反映单位本年度政府性基金预算财政拨款收入支出及结转和结余情况。本单位无政府性基金收支，故本表无数据。</w:t>
      </w:r>
      <w:r>
        <w:rPr>
          <w:rFonts w:cs="宋体"/>
          <w:sz w:val="20"/>
          <w:szCs w:val="20"/>
        </w:rPr>
        <w:br w:type="textWrapping"/>
      </w:r>
      <w:r>
        <w:rPr>
          <w:rFonts w:cs="宋体"/>
          <w:sz w:val="20"/>
          <w:szCs w:val="20"/>
        </w:rPr>
        <w:br w:type="textWrapping"/>
      </w:r>
    </w:p>
    <w:p>
      <w:pPr>
        <w:rPr>
          <w:rFonts w:hint="default" w:cs="宋体"/>
          <w:sz w:val="21"/>
          <w:szCs w:val="21"/>
        </w:rPr>
      </w:pPr>
      <w:r>
        <w:rPr>
          <w:rFonts w:cs="宋体"/>
          <w:sz w:val="21"/>
          <w:szCs w:val="21"/>
        </w:rPr>
        <w:br w:type="page"/>
      </w:r>
    </w:p>
    <w:tbl>
      <w:tblPr>
        <w:tblStyle w:val="7"/>
        <w:tblW w:w="15378" w:type="dxa"/>
        <w:tblInd w:w="0" w:type="dxa"/>
        <w:tblLayout w:type="fixed"/>
        <w:tblCellMar>
          <w:top w:w="0" w:type="dxa"/>
          <w:left w:w="0" w:type="dxa"/>
          <w:bottom w:w="0" w:type="dxa"/>
          <w:right w:w="0" w:type="dxa"/>
        </w:tblCellMar>
      </w:tblPr>
      <w:tblGrid>
        <w:gridCol w:w="1882"/>
        <w:gridCol w:w="3060"/>
        <w:gridCol w:w="3276"/>
        <w:gridCol w:w="200"/>
        <w:gridCol w:w="3475"/>
        <w:gridCol w:w="77"/>
        <w:gridCol w:w="3408"/>
      </w:tblGrid>
      <w:tr>
        <w:tblPrEx>
          <w:tblCellMar>
            <w:top w:w="0" w:type="dxa"/>
            <w:left w:w="0" w:type="dxa"/>
            <w:bottom w:w="0" w:type="dxa"/>
            <w:right w:w="0" w:type="dxa"/>
          </w:tblCellMar>
        </w:tblPrEx>
        <w:trPr>
          <w:trHeight w:val="650" w:hRule="atLeast"/>
        </w:trPr>
        <w:tc>
          <w:tcPr>
            <w:tcW w:w="15378" w:type="dxa"/>
            <w:gridSpan w:val="7"/>
            <w:tcBorders>
              <w:top w:val="nil"/>
              <w:left w:val="nil"/>
              <w:bottom w:val="nil"/>
              <w:right w:val="nil"/>
            </w:tcBorders>
            <w:shd w:val="clear" w:color="auto" w:fill="auto"/>
            <w:noWrap/>
            <w:tcMar>
              <w:top w:w="15" w:type="dxa"/>
              <w:left w:w="15" w:type="dxa"/>
              <w:right w:w="15" w:type="dxa"/>
            </w:tcMar>
            <w:vAlign w:val="bottom"/>
          </w:tcPr>
          <w:p>
            <w:pPr>
              <w:jc w:val="center"/>
              <w:textAlignment w:val="bottom"/>
              <w:rPr>
                <w:rFonts w:hint="default" w:cs="宋体"/>
                <w:b/>
                <w:color w:val="000000"/>
                <w:sz w:val="32"/>
                <w:szCs w:val="32"/>
              </w:rPr>
            </w:pPr>
            <w:r>
              <w:rPr>
                <w:rFonts w:cs="宋体"/>
                <w:b/>
                <w:color w:val="000000"/>
                <w:sz w:val="32"/>
                <w:szCs w:val="32"/>
              </w:rPr>
              <w:t>国有资本经营预算财政拨款支出决算表</w:t>
            </w:r>
          </w:p>
        </w:tc>
      </w:tr>
      <w:tr>
        <w:tblPrEx>
          <w:tblCellMar>
            <w:top w:w="0" w:type="dxa"/>
            <w:left w:w="0" w:type="dxa"/>
            <w:bottom w:w="0" w:type="dxa"/>
            <w:right w:w="0" w:type="dxa"/>
          </w:tblCellMar>
        </w:tblPrEx>
        <w:trPr>
          <w:trHeight w:val="332" w:hRule="atLeast"/>
        </w:trPr>
        <w:tc>
          <w:tcPr>
            <w:tcW w:w="8218" w:type="dxa"/>
            <w:gridSpan w:val="3"/>
            <w:vMerge w:val="restart"/>
            <w:tcBorders>
              <w:top w:val="nil"/>
              <w:left w:val="nil"/>
              <w:right w:val="nil"/>
            </w:tcBorders>
            <w:shd w:val="clear" w:color="auto" w:fill="auto"/>
            <w:noWrap/>
            <w:tcMar>
              <w:top w:w="15" w:type="dxa"/>
              <w:left w:w="15" w:type="dxa"/>
              <w:right w:w="15" w:type="dxa"/>
            </w:tcMar>
            <w:vAlign w:val="bottom"/>
          </w:tcPr>
          <w:p>
            <w:pPr>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重庆市忠县官坝镇劳动就业和社会保障服务所</w:t>
            </w: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公开08表</w:t>
            </w:r>
          </w:p>
        </w:tc>
      </w:tr>
      <w:tr>
        <w:tblPrEx>
          <w:tblCellMar>
            <w:top w:w="0" w:type="dxa"/>
            <w:left w:w="0" w:type="dxa"/>
            <w:bottom w:w="0" w:type="dxa"/>
            <w:right w:w="0" w:type="dxa"/>
          </w:tblCellMar>
        </w:tblPrEx>
        <w:trPr>
          <w:trHeight w:val="332" w:hRule="atLeast"/>
        </w:trPr>
        <w:tc>
          <w:tcPr>
            <w:tcW w:w="8218" w:type="dxa"/>
            <w:gridSpan w:val="3"/>
            <w:vMerge w:val="continue"/>
            <w:tcBorders>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752" w:type="dxa"/>
            <w:gridSpan w:val="3"/>
            <w:tcBorders>
              <w:top w:val="nil"/>
              <w:left w:val="nil"/>
              <w:bottom w:val="nil"/>
              <w:right w:val="nil"/>
            </w:tcBorders>
            <w:shd w:val="clear" w:color="auto" w:fill="auto"/>
            <w:noWrap/>
            <w:tcMar>
              <w:top w:w="15" w:type="dxa"/>
              <w:left w:w="15" w:type="dxa"/>
              <w:right w:w="15" w:type="dxa"/>
            </w:tcMar>
            <w:vAlign w:val="bottom"/>
          </w:tcPr>
          <w:p>
            <w:pPr>
              <w:rPr>
                <w:rFonts w:hint="default" w:cs="宋体"/>
                <w:color w:val="000000"/>
                <w:sz w:val="20"/>
                <w:szCs w:val="20"/>
              </w:rPr>
            </w:pPr>
          </w:p>
        </w:tc>
        <w:tc>
          <w:tcPr>
            <w:tcW w:w="3408" w:type="dxa"/>
            <w:tcBorders>
              <w:top w:val="nil"/>
              <w:left w:val="nil"/>
              <w:bottom w:val="nil"/>
              <w:right w:val="nil"/>
            </w:tcBorders>
            <w:shd w:val="clear" w:color="auto" w:fill="auto"/>
            <w:noWrap/>
            <w:tcMar>
              <w:top w:w="15" w:type="dxa"/>
              <w:left w:w="15" w:type="dxa"/>
              <w:right w:w="15" w:type="dxa"/>
            </w:tcMar>
            <w:vAlign w:val="bottom"/>
          </w:tcPr>
          <w:p>
            <w:pPr>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0" w:type="dxa"/>
            <w:bottom w:w="0" w:type="dxa"/>
            <w:right w:w="0" w:type="dxa"/>
          </w:tblCellMar>
        </w:tblPrEx>
        <w:trPr>
          <w:trHeight w:val="422"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项目</w:t>
            </w:r>
          </w:p>
        </w:tc>
        <w:tc>
          <w:tcPr>
            <w:tcW w:w="10436" w:type="dxa"/>
            <w:gridSpan w:val="5"/>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pPr>
              <w:jc w:val="center"/>
              <w:textAlignment w:val="bottom"/>
              <w:rPr>
                <w:rFonts w:hint="default" w:cs="宋体"/>
                <w:b/>
                <w:color w:val="000000"/>
                <w:sz w:val="20"/>
                <w:szCs w:val="20"/>
              </w:rPr>
            </w:pPr>
            <w:r>
              <w:rPr>
                <w:rFonts w:cs="宋体"/>
                <w:b/>
                <w:color w:val="000000"/>
                <w:sz w:val="20"/>
                <w:szCs w:val="20"/>
              </w:rPr>
              <w:t>本年支出</w:t>
            </w:r>
          </w:p>
        </w:tc>
      </w:tr>
      <w:tr>
        <w:tblPrEx>
          <w:tblCellMar>
            <w:top w:w="0" w:type="dxa"/>
            <w:left w:w="0" w:type="dxa"/>
            <w:bottom w:w="0" w:type="dxa"/>
            <w:right w:w="0" w:type="dxa"/>
          </w:tblCellMar>
        </w:tblPrEx>
        <w:trPr>
          <w:trHeight w:val="339" w:hRule="atLeast"/>
        </w:trPr>
        <w:tc>
          <w:tcPr>
            <w:tcW w:w="188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功能分类科目编码</w:t>
            </w:r>
          </w:p>
        </w:tc>
        <w:tc>
          <w:tcPr>
            <w:tcW w:w="306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科目名称</w:t>
            </w:r>
          </w:p>
        </w:tc>
        <w:tc>
          <w:tcPr>
            <w:tcW w:w="3476" w:type="dxa"/>
            <w:gridSpan w:val="2"/>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基本支出</w:t>
            </w:r>
          </w:p>
        </w:tc>
        <w:tc>
          <w:tcPr>
            <w:tcW w:w="3485" w:type="dxa"/>
            <w:gridSpan w:val="2"/>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项目支出</w:t>
            </w:r>
          </w:p>
        </w:tc>
      </w:tr>
      <w:tr>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39"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326" w:hRule="atLeast"/>
        </w:trPr>
        <w:tc>
          <w:tcPr>
            <w:tcW w:w="188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06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6" w:type="dxa"/>
            <w:gridSpan w:val="2"/>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7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c>
          <w:tcPr>
            <w:tcW w:w="3485" w:type="dxa"/>
            <w:gridSpan w:val="2"/>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pPr>
              <w:jc w:val="center"/>
              <w:rPr>
                <w:rFonts w:hint="default" w:cs="宋体"/>
                <w:b/>
                <w:color w:val="000000"/>
                <w:sz w:val="20"/>
                <w:szCs w:val="20"/>
              </w:rPr>
            </w:pPr>
          </w:p>
        </w:tc>
      </w:tr>
      <w:tr>
        <w:tblPrEx>
          <w:tblCellMar>
            <w:top w:w="0" w:type="dxa"/>
            <w:left w:w="0" w:type="dxa"/>
            <w:bottom w:w="0" w:type="dxa"/>
            <w:right w:w="0" w:type="dxa"/>
          </w:tblCellMar>
        </w:tblPrEx>
        <w:trPr>
          <w:trHeight w:val="611" w:hRule="atLeast"/>
        </w:trPr>
        <w:tc>
          <w:tcPr>
            <w:tcW w:w="4942"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pPr>
              <w:jc w:val="center"/>
              <w:textAlignment w:val="center"/>
              <w:rPr>
                <w:rFonts w:hint="default" w:cs="宋体"/>
                <w:b/>
                <w:color w:val="000000"/>
                <w:sz w:val="20"/>
                <w:szCs w:val="20"/>
              </w:rPr>
            </w:pPr>
            <w:r>
              <w:rPr>
                <w:rFonts w:cs="宋体"/>
                <w:b/>
                <w:color w:val="000000"/>
                <w:sz w:val="20"/>
                <w:szCs w:val="20"/>
              </w:rPr>
              <w:t>合计</w:t>
            </w:r>
          </w:p>
        </w:tc>
        <w:tc>
          <w:tcPr>
            <w:tcW w:w="34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c>
          <w:tcPr>
            <w:tcW w:w="347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jc w:val="right"/>
              <w:rPr>
                <w:rFonts w:hint="default" w:cs="宋体"/>
                <w:b/>
                <w:color w:val="000000"/>
                <w:sz w:val="20"/>
                <w:szCs w:val="20"/>
              </w:rPr>
            </w:pPr>
          </w:p>
        </w:tc>
        <w:tc>
          <w:tcPr>
            <w:tcW w:w="348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ordWrap w:val="0"/>
              <w:jc w:val="right"/>
              <w:textAlignment w:val="center"/>
              <w:rPr>
                <w:rFonts w:hint="default" w:cs="宋体"/>
                <w:b/>
                <w:color w:val="000000"/>
                <w:sz w:val="20"/>
                <w:szCs w:val="20"/>
              </w:rPr>
            </w:pPr>
            <w:r>
              <w:rPr>
                <w:b/>
                <w:color w:val="000000"/>
                <w:sz w:val="20"/>
                <w:u w:color="auto"/>
              </w:rPr>
              <w:t xml:space="preserve"> </w:t>
            </w:r>
          </w:p>
        </w:tc>
      </w:tr>
    </w:tbl>
    <w:p>
      <w:pPr>
        <w:rPr>
          <w:rFonts w:hint="default" w:cs="宋体"/>
          <w:sz w:val="21"/>
          <w:szCs w:val="21"/>
        </w:rPr>
      </w:pPr>
      <w:r>
        <w:rPr>
          <w:rFonts w:cs="宋体"/>
          <w:sz w:val="20"/>
          <w:szCs w:val="20"/>
        </w:rPr>
        <w:t>备注：本表反映单位本年度国有资本经营预算财政拨款支出情况。本单位无国有资本经营收支，故本表无数据。</w:t>
      </w:r>
      <w:r>
        <w:rPr>
          <w:rFonts w:cs="宋体"/>
          <w:sz w:val="20"/>
          <w:szCs w:val="20"/>
        </w:rPr>
        <w:br w:type="textWrapping"/>
      </w:r>
      <w:r>
        <w:rPr>
          <w:rFonts w:cs="宋体"/>
          <w:sz w:val="20"/>
          <w:szCs w:val="20"/>
        </w:rPr>
        <w:br w:type="textWrapping"/>
      </w:r>
      <w:r>
        <w:rPr>
          <w:rFonts w:hint="default" w:cs="宋体"/>
          <w:sz w:val="21"/>
          <w:szCs w:val="21"/>
        </w:rPr>
        <w:br w:type="page"/>
      </w:r>
    </w:p>
    <w:tbl>
      <w:tblPr>
        <w:tblStyle w:val="7"/>
        <w:tblW w:w="15000" w:type="dxa"/>
        <w:tblInd w:w="0" w:type="dxa"/>
        <w:tblLayout w:type="fixed"/>
        <w:tblCellMar>
          <w:top w:w="0" w:type="dxa"/>
          <w:left w:w="170" w:type="dxa"/>
          <w:bottom w:w="0" w:type="dxa"/>
          <w:right w:w="170" w:type="dxa"/>
        </w:tblCellMar>
      </w:tblPr>
      <w:tblGrid>
        <w:gridCol w:w="4041"/>
        <w:gridCol w:w="2166"/>
        <w:gridCol w:w="2115"/>
        <w:gridCol w:w="4524"/>
        <w:gridCol w:w="2154"/>
      </w:tblGrid>
      <w:tr>
        <w:tblPrEx>
          <w:tblCellMar>
            <w:top w:w="0" w:type="dxa"/>
            <w:left w:w="170" w:type="dxa"/>
            <w:bottom w:w="0" w:type="dxa"/>
            <w:right w:w="170" w:type="dxa"/>
          </w:tblCellMar>
        </w:tblPrEx>
        <w:trPr>
          <w:trHeight w:val="343" w:hRule="atLeast"/>
        </w:trPr>
        <w:tc>
          <w:tcPr>
            <w:tcW w:w="15000" w:type="dxa"/>
            <w:gridSpan w:val="5"/>
            <w:tcBorders>
              <w:top w:val="nil"/>
              <w:left w:val="nil"/>
              <w:bottom w:val="nil"/>
              <w:right w:val="nil"/>
            </w:tcBorders>
            <w:shd w:val="clear" w:color="auto" w:fill="auto"/>
            <w:noWrap/>
            <w:tcMar>
              <w:top w:w="15" w:type="dxa"/>
              <w:left w:w="15" w:type="dxa"/>
              <w:right w:w="15" w:type="dxa"/>
            </w:tcMar>
            <w:vAlign w:val="bottom"/>
          </w:tcPr>
          <w:p>
            <w:pPr>
              <w:spacing w:line="400" w:lineRule="exact"/>
              <w:jc w:val="center"/>
              <w:textAlignment w:val="bottom"/>
              <w:rPr>
                <w:rFonts w:hint="default" w:cs="宋体"/>
                <w:b/>
                <w:color w:val="000000"/>
                <w:sz w:val="32"/>
                <w:szCs w:val="32"/>
              </w:rPr>
            </w:pPr>
            <w:r>
              <w:rPr>
                <w:rFonts w:cs="宋体"/>
                <w:b/>
                <w:color w:val="000000"/>
                <w:sz w:val="32"/>
                <w:szCs w:val="32"/>
              </w:rPr>
              <w:t>机构运行信息表</w:t>
            </w:r>
          </w:p>
        </w:tc>
      </w:tr>
      <w:tr>
        <w:tblPrEx>
          <w:tblCellMar>
            <w:top w:w="0" w:type="dxa"/>
            <w:left w:w="170" w:type="dxa"/>
            <w:bottom w:w="0" w:type="dxa"/>
            <w:right w:w="170" w:type="dxa"/>
          </w:tblCellMar>
        </w:tblPrEx>
        <w:trPr>
          <w:trHeight w:val="244" w:hRule="atLeast"/>
        </w:trPr>
        <w:tc>
          <w:tcPr>
            <w:tcW w:w="4041"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66"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center"/>
              <w:rPr>
                <w:rFonts w:hint="default" w:cs="宋体"/>
                <w:color w:val="000000"/>
                <w:sz w:val="20"/>
                <w:szCs w:val="20"/>
              </w:rPr>
            </w:pPr>
          </w:p>
        </w:tc>
        <w:tc>
          <w:tcPr>
            <w:tcW w:w="2115"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nil"/>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nil"/>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公开09表</w:t>
            </w:r>
          </w:p>
        </w:tc>
      </w:tr>
      <w:tr>
        <w:tblPrEx>
          <w:tblCellMar>
            <w:top w:w="0" w:type="dxa"/>
            <w:left w:w="170" w:type="dxa"/>
            <w:bottom w:w="0" w:type="dxa"/>
            <w:right w:w="170" w:type="dxa"/>
          </w:tblCellMar>
        </w:tblPrEx>
        <w:trPr>
          <w:trHeight w:val="244" w:hRule="atLeast"/>
        </w:trPr>
        <w:tc>
          <w:tcPr>
            <w:tcW w:w="6207" w:type="dxa"/>
            <w:gridSpan w:val="2"/>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r>
              <w:rPr>
                <w:rFonts w:cs="宋体"/>
                <w:sz w:val="20"/>
                <w:szCs w:val="20"/>
              </w:rPr>
              <w:t>公开单位</w:t>
            </w:r>
            <w:r>
              <w:rPr>
                <w:rFonts w:cs="宋体"/>
                <w:color w:val="000000"/>
                <w:sz w:val="20"/>
                <w:szCs w:val="20"/>
              </w:rPr>
              <w:t xml:space="preserve">： </w:t>
            </w:r>
            <w:r>
              <w:rPr>
                <w:color w:val="000000"/>
                <w:sz w:val="20"/>
                <w:u w:color="auto"/>
              </w:rPr>
              <w:t>重庆市忠县官坝镇劳动就业和社会保障服务所</w:t>
            </w:r>
          </w:p>
        </w:tc>
        <w:tc>
          <w:tcPr>
            <w:tcW w:w="2115"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rPr>
                <w:rFonts w:hint="default" w:cs="宋体"/>
                <w:color w:val="000000"/>
                <w:sz w:val="20"/>
                <w:szCs w:val="20"/>
              </w:rPr>
            </w:pPr>
          </w:p>
        </w:tc>
        <w:tc>
          <w:tcPr>
            <w:tcW w:w="452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rPr>
                <w:rFonts w:hint="default" w:cs="宋体"/>
                <w:color w:val="000000"/>
                <w:sz w:val="20"/>
                <w:szCs w:val="20"/>
              </w:rPr>
            </w:pPr>
          </w:p>
        </w:tc>
        <w:tc>
          <w:tcPr>
            <w:tcW w:w="2154" w:type="dxa"/>
            <w:tcBorders>
              <w:top w:val="nil"/>
              <w:left w:val="nil"/>
              <w:bottom w:val="single" w:color="auto" w:sz="4" w:space="0"/>
              <w:right w:val="nil"/>
            </w:tcBorders>
            <w:shd w:val="clear" w:color="auto" w:fill="auto"/>
            <w:noWrap/>
            <w:tcMar>
              <w:top w:w="15" w:type="dxa"/>
              <w:left w:w="15" w:type="dxa"/>
              <w:right w:w="15" w:type="dxa"/>
            </w:tcMar>
            <w:vAlign w:val="bottom"/>
          </w:tcPr>
          <w:p>
            <w:pPr>
              <w:spacing w:line="280" w:lineRule="exact"/>
              <w:jc w:val="right"/>
              <w:textAlignment w:val="bottom"/>
              <w:rPr>
                <w:rFonts w:hint="default" w:cs="宋体"/>
                <w:color w:val="000000"/>
                <w:sz w:val="20"/>
                <w:szCs w:val="20"/>
              </w:rPr>
            </w:pPr>
            <w:r>
              <w:rPr>
                <w:rFonts w:cs="宋体"/>
                <w:color w:val="000000"/>
                <w:sz w:val="20"/>
                <w:szCs w:val="20"/>
              </w:rPr>
              <w:t>单位：</w:t>
            </w:r>
            <w:r>
              <w:rPr>
                <w:rFonts w:cs="宋体"/>
                <w:sz w:val="20"/>
                <w:szCs w:val="20"/>
              </w:rPr>
              <w:t>万元</w:t>
            </w:r>
          </w:p>
        </w:tc>
      </w:tr>
      <w:tr>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66"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预算数</w:t>
            </w:r>
          </w:p>
        </w:tc>
        <w:tc>
          <w:tcPr>
            <w:tcW w:w="2115"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项  目</w:t>
            </w:r>
          </w:p>
        </w:tc>
        <w:tc>
          <w:tcPr>
            <w:tcW w:w="215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jc w:val="center"/>
              <w:textAlignment w:val="center"/>
              <w:rPr>
                <w:rFonts w:hint="default" w:cs="宋体"/>
                <w:b/>
                <w:color w:val="000000"/>
                <w:sz w:val="16"/>
                <w:szCs w:val="16"/>
              </w:rPr>
            </w:pPr>
            <w:r>
              <w:rPr>
                <w:rFonts w:cs="宋体"/>
                <w:b/>
                <w:color w:val="000000"/>
                <w:sz w:val="16"/>
                <w:szCs w:val="16"/>
              </w:rPr>
              <w:t>决算数</w:t>
            </w:r>
          </w:p>
        </w:tc>
      </w:tr>
      <w:tr>
        <w:tblPrEx>
          <w:tblCellMar>
            <w:top w:w="0" w:type="dxa"/>
            <w:left w:w="170" w:type="dxa"/>
            <w:bottom w:w="0" w:type="dxa"/>
            <w:right w:w="170" w:type="dxa"/>
          </w:tblCellMar>
        </w:tblPrEx>
        <w:trPr>
          <w:trHeight w:val="28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一、“三公”经费支出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四、机关运行经费</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（一）支出合计</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0.19</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0.19</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（一）行政单位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（二）参照公务员法管理事业单位</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2．公务用车购置及运行维护费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五、资产信息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（1）公务用车购置费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（一）车辆数合计（辆）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（2）公务用车运行维护费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1．副部（省）级及以上领导用车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0.19</w:t>
            </w:r>
            <w:r>
              <w:rPr>
                <w:color w:val="000000"/>
                <w:sz w:val="16"/>
                <w:u w:color="auto"/>
              </w:rPr>
              <w:t xml:space="preserve"> </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0.19</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2．主要领导干部用车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（1）国内接待费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0.19</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3．机要通信用车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4．应急保障用车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（2）国（境）外接待费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5．执法执勤用车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（二）相关统计数</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6．特种专业技术用车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1．因公出国（境）团组数（个）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7．离退休干部用车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2．因公出国（境）人次数（人）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8．其他用车</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3．公务用车购置数（辆）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（二）单价100万元（含）以上设备（不含车辆）</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4．公务用车保有量（辆）</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六、政府采购支出信息</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5．国内公务接待批次（个）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19</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（一）政府采购支出合计</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1．政府采购货物支出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6．国内公务接待人次（人）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45</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2．政府采购工程支出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其中：外事接待人次（人）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3．政府采购服务支出</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7．国（境）外公务接待批次（个）</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（二）政府采购授予中小企业合同金额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92" w:hRule="atLeast"/>
        </w:trPr>
        <w:tc>
          <w:tcPr>
            <w:tcW w:w="4041" w:type="dxa"/>
            <w:tcBorders>
              <w:top w:val="single" w:color="auto" w:sz="4" w:space="0"/>
              <w:left w:val="single" w:color="auto" w:sz="4" w:space="0"/>
              <w:bottom w:val="single" w:color="auto" w:sz="4" w:space="0"/>
              <w:right w:val="single" w:color="auto" w:sz="4" w:space="0"/>
            </w:tcBorders>
            <w:shd w:val="clear" w:color="FFFFFF" w:fill="BFBFBF"/>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8．国（境）外公务接待人次（人）</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FFFFFF"/>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 xml:space="preserve">        其中：授予小微企业合同金额</w:t>
            </w: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r>
      <w:tr>
        <w:tblPrEx>
          <w:tblCellMar>
            <w:top w:w="0" w:type="dxa"/>
            <w:left w:w="170" w:type="dxa"/>
            <w:bottom w:w="0" w:type="dxa"/>
            <w:right w:w="170" w:type="dxa"/>
          </w:tblCellMar>
        </w:tblPrEx>
        <w:trPr>
          <w:trHeight w:val="286"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二、会议费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r>
        <w:tblPrEx>
          <w:tblCellMar>
            <w:top w:w="0" w:type="dxa"/>
            <w:left w:w="170" w:type="dxa"/>
            <w:bottom w:w="0" w:type="dxa"/>
            <w:right w:w="170" w:type="dxa"/>
          </w:tblCellMar>
        </w:tblPrEx>
        <w:trPr>
          <w:trHeight w:val="389" w:hRule="atLeast"/>
        </w:trPr>
        <w:tc>
          <w:tcPr>
            <w:tcW w:w="4041"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textAlignment w:val="center"/>
              <w:rPr>
                <w:rFonts w:hint="default" w:cs="宋体"/>
                <w:color w:val="000000"/>
                <w:sz w:val="16"/>
                <w:szCs w:val="16"/>
              </w:rPr>
            </w:pPr>
            <w:r>
              <w:rPr>
                <w:rFonts w:cs="宋体"/>
                <w:color w:val="000000"/>
                <w:sz w:val="16"/>
                <w:szCs w:val="16"/>
              </w:rPr>
              <w:t>三、培训费</w:t>
            </w:r>
          </w:p>
        </w:tc>
        <w:tc>
          <w:tcPr>
            <w:tcW w:w="2166"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200" w:lineRule="exact"/>
              <w:jc w:val="center"/>
              <w:textAlignment w:val="center"/>
              <w:rPr>
                <w:rFonts w:hint="default" w:cs="宋体"/>
                <w:color w:val="000000"/>
                <w:sz w:val="16"/>
                <w:szCs w:val="16"/>
              </w:rPr>
            </w:pPr>
            <w:r>
              <w:rPr>
                <w:rFonts w:cs="宋体"/>
                <w:color w:val="000000"/>
                <w:sz w:val="16"/>
                <w:szCs w:val="16"/>
              </w:rPr>
              <w:t>—</w:t>
            </w:r>
          </w:p>
        </w:tc>
        <w:tc>
          <w:tcPr>
            <w:tcW w:w="211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textAlignment w:val="bottom"/>
              <w:rPr>
                <w:rFonts w:hint="default" w:cs="宋体"/>
                <w:color w:val="000000"/>
                <w:sz w:val="16"/>
                <w:szCs w:val="16"/>
              </w:rPr>
            </w:pPr>
            <w:r>
              <w:rPr>
                <w:rFonts w:cs="宋体"/>
                <w:color w:val="000000"/>
                <w:sz w:val="16"/>
                <w:szCs w:val="16"/>
              </w:rPr>
              <w:t>0.34</w:t>
            </w:r>
            <w:r>
              <w:rPr>
                <w:color w:val="000000"/>
                <w:sz w:val="16"/>
                <w:u w:color="auto"/>
              </w:rPr>
              <w:t xml:space="preserve"> </w:t>
            </w:r>
          </w:p>
        </w:tc>
        <w:tc>
          <w:tcPr>
            <w:tcW w:w="4524" w:type="dxa"/>
            <w:tcBorders>
              <w:top w:val="single" w:color="auto" w:sz="4" w:space="0"/>
              <w:left w:val="single" w:color="auto" w:sz="4" w:space="0"/>
              <w:bottom w:val="single" w:color="auto" w:sz="4" w:space="0"/>
              <w:right w:val="single" w:color="auto" w:sz="4" w:space="0"/>
            </w:tcBorders>
            <w:shd w:val="clear" w:color="FFFFFF" w:fill="C0C0C0"/>
            <w:noWrap/>
            <w:tcMar>
              <w:top w:w="15" w:type="dxa"/>
              <w:left w:w="15" w:type="dxa"/>
              <w:right w:w="15" w:type="dxa"/>
            </w:tcMar>
            <w:vAlign w:val="center"/>
          </w:tcPr>
          <w:p>
            <w:pPr>
              <w:spacing w:line="200" w:lineRule="exact"/>
              <w:rPr>
                <w:rFonts w:hint="default" w:cs="宋体"/>
                <w:color w:val="000000"/>
                <w:sz w:val="16"/>
                <w:szCs w:val="16"/>
              </w:rPr>
            </w:pPr>
          </w:p>
        </w:tc>
        <w:tc>
          <w:tcPr>
            <w:tcW w:w="2154"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bottom"/>
          </w:tcPr>
          <w:p>
            <w:pPr>
              <w:spacing w:line="200" w:lineRule="exact"/>
              <w:jc w:val="right"/>
              <w:rPr>
                <w:rFonts w:hint="default" w:cs="宋体"/>
                <w:color w:val="000000"/>
                <w:sz w:val="16"/>
                <w:szCs w:val="16"/>
              </w:rPr>
            </w:pPr>
          </w:p>
        </w:tc>
      </w:tr>
    </w:tbl>
    <w:p>
      <w:pPr>
        <w:rPr>
          <w:rFonts w:hint="default" w:cs="宋体"/>
          <w:sz w:val="21"/>
          <w:szCs w:val="21"/>
        </w:rPr>
      </w:pPr>
      <w:r>
        <w:rPr>
          <w:rFonts w:cs="宋体"/>
          <w:sz w:val="20"/>
          <w:szCs w:val="20"/>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cs="宋体"/>
          <w:sz w:val="20"/>
          <w:szCs w:val="20"/>
        </w:rPr>
        <w:br w:type="textWrapping"/>
      </w:r>
      <w:r>
        <w:rPr>
          <w:rFonts w:cs="宋体"/>
          <w:sz w:val="20"/>
          <w:szCs w:val="20"/>
        </w:rPr>
        <w:t xml:space="preserve">      2.本套报表金额单位转换时可能存在尾数误差。</w:t>
      </w:r>
      <w:r>
        <w:rPr>
          <w:rFonts w:cs="宋体"/>
          <w:sz w:val="20"/>
          <w:szCs w:val="20"/>
        </w:rPr>
        <w:br w:type="textWrapping"/>
      </w:r>
      <w:r>
        <w:rPr>
          <w:rFonts w:cs="宋体"/>
          <w:sz w:val="20"/>
          <w:szCs w:val="20"/>
        </w:rPr>
        <w:br w:type="textWrapping"/>
      </w:r>
    </w:p>
    <w:sectPr>
      <w:headerReference r:id="rId4" w:type="default"/>
      <w:footerReference r:id="rId5" w:type="default"/>
      <w:pgSz w:w="16839" w:h="11907" w:orient="landscape"/>
      <w:pgMar w:top="567" w:right="454" w:bottom="567" w:left="1037" w:header="0" w:footer="283" w:gutter="0"/>
      <w:pgNumType w:fmt="numberInDash"/>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hint="default"/>
      </w:rPr>
    </w:pPr>
    <w:r>
      <w:rPr>
        <w:rFonts w:hint="default"/>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rPr>
                        <w:rFonts w:hint="default"/>
                      </w:rPr>
                    </w:pPr>
                    <w:r>
                      <w:fldChar w:fldCharType="begin"/>
                    </w:r>
                    <w:r>
                      <w:instrText xml:space="preserve"> PAGE  \* MERGEFORMAT </w:instrText>
                    </w:r>
                    <w:r>
                      <w:fldChar w:fldCharType="separate"/>
                    </w:r>
                    <w:r>
                      <w:rPr>
                        <w:rFonts w:hint="default"/>
                      </w:rPr>
                      <w:t>- 4 -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both"/>
      <w:rPr>
        <w:rFonts w:hint="default"/>
      </w:rPr>
    </w:pPr>
    <w:r>
      <w:rPr>
        <w:rFonts w:hint="default"/>
      </w:rP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pPr>
                      <w:pStyle w:val="3"/>
                      <w:rPr>
                        <w:rFonts w:hint="default"/>
                      </w:rPr>
                    </w:pPr>
                    <w:r>
                      <w:t xml:space="preserve"> </w:t>
                    </w:r>
                    <w:r>
                      <w:fldChar w:fldCharType="begin"/>
                    </w:r>
                    <w:r>
                      <w:instrText xml:space="preserve">PAGE   \* MERGEFORMAT</w:instrText>
                    </w:r>
                    <w:r>
                      <w:fldChar w:fldCharType="separate"/>
                    </w:r>
                    <w:r>
                      <w:rPr>
                        <w:rFonts w:hint="default"/>
                        <w:lang w:val="zh-CN"/>
                      </w:rPr>
                      <w:t>-</w:t>
                    </w:r>
                    <w:r>
                      <w:rPr>
                        <w:rFonts w:hint="default"/>
                      </w:rPr>
                      <w:t xml:space="preserve"> 30 -</w:t>
                    </w:r>
                    <w:r>
                      <w:fldChar w:fldCharType="end"/>
                    </w:r>
                    <w:r>
                      <w:t xml:space="preserve"> </w:t>
                    </w:r>
                  </w:p>
                </w:txbxContent>
              </v:textbox>
            </v:shape>
          </w:pict>
        </mc:Fallback>
      </mc:AlternateContent>
    </w:r>
    <w:r>
      <w:rPr>
        <w:rFonts w:hint="default"/>
      </w:rP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pPr>
                            <w:pStyle w:val="3"/>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pPr>
                      <w:pStyle w:val="3"/>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AC0B6A"/>
    <w:multiLevelType w:val="singleLevel"/>
    <w:tmpl w:val="9CAC0B6A"/>
    <w:lvl w:ilvl="0" w:tentative="0">
      <w:start w:val="1"/>
      <w:numFmt w:val="chineseCounting"/>
      <w:suff w:val="nothing"/>
      <w:lvlText w:val="（%1）"/>
      <w:lvlJc w:val="left"/>
      <w:pPr>
        <w:ind w:left="720"/>
      </w:pPr>
      <w:rPr>
        <w:rFonts w:hint="eastAsia"/>
      </w:rPr>
    </w:lvl>
  </w:abstractNum>
  <w:abstractNum w:abstractNumId="1">
    <w:nsid w:val="C5339A02"/>
    <w:multiLevelType w:val="singleLevel"/>
    <w:tmpl w:val="C5339A02"/>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20"/>
  <w:drawingGridVerticalSpacing w:val="163"/>
  <w:displayHorizontalDrawingGridEvery w:val="2"/>
  <w:displayVerticalDrawingGridEvery w:val="2"/>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wYWQ1YTE0ZDA0NjgxYzlhMjZlMDExNTFmMWI3MmEifQ=="/>
  </w:docVars>
  <w:rsids>
    <w:rsidRoot w:val="00B03CCD"/>
    <w:rsid w:val="001D3BB7"/>
    <w:rsid w:val="002B254B"/>
    <w:rsid w:val="00466C9B"/>
    <w:rsid w:val="00550ABE"/>
    <w:rsid w:val="00770383"/>
    <w:rsid w:val="007819D4"/>
    <w:rsid w:val="007B419D"/>
    <w:rsid w:val="007B7C4B"/>
    <w:rsid w:val="007D3D39"/>
    <w:rsid w:val="00994AF7"/>
    <w:rsid w:val="009B67B8"/>
    <w:rsid w:val="009D2B67"/>
    <w:rsid w:val="00A566F9"/>
    <w:rsid w:val="00AF2751"/>
    <w:rsid w:val="00B03CCD"/>
    <w:rsid w:val="00BE2B89"/>
    <w:rsid w:val="00C10E9E"/>
    <w:rsid w:val="00C20C3E"/>
    <w:rsid w:val="00F73F90"/>
    <w:rsid w:val="01474EBF"/>
    <w:rsid w:val="016559CF"/>
    <w:rsid w:val="01F3521E"/>
    <w:rsid w:val="03B87EA0"/>
    <w:rsid w:val="03E3214F"/>
    <w:rsid w:val="044C50BA"/>
    <w:rsid w:val="05BC6D49"/>
    <w:rsid w:val="06194FF1"/>
    <w:rsid w:val="06A2550B"/>
    <w:rsid w:val="06F80EE2"/>
    <w:rsid w:val="07001CCA"/>
    <w:rsid w:val="075678DB"/>
    <w:rsid w:val="079D7CC7"/>
    <w:rsid w:val="08051BCA"/>
    <w:rsid w:val="083E20CB"/>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7D1AE1"/>
    <w:rsid w:val="0DDA54E4"/>
    <w:rsid w:val="0E3A5F83"/>
    <w:rsid w:val="0F836721"/>
    <w:rsid w:val="0FA25D96"/>
    <w:rsid w:val="107B59E5"/>
    <w:rsid w:val="10EC0126"/>
    <w:rsid w:val="10F70B9A"/>
    <w:rsid w:val="111445C7"/>
    <w:rsid w:val="114278C6"/>
    <w:rsid w:val="1158083A"/>
    <w:rsid w:val="11643A4B"/>
    <w:rsid w:val="11ED0F98"/>
    <w:rsid w:val="11F03528"/>
    <w:rsid w:val="12C921C4"/>
    <w:rsid w:val="13592266"/>
    <w:rsid w:val="13871C70"/>
    <w:rsid w:val="13A71CB4"/>
    <w:rsid w:val="13AF1D43"/>
    <w:rsid w:val="13CE1647"/>
    <w:rsid w:val="13FD55AB"/>
    <w:rsid w:val="14200702"/>
    <w:rsid w:val="159A54D6"/>
    <w:rsid w:val="163A6CEE"/>
    <w:rsid w:val="164C4136"/>
    <w:rsid w:val="173708E3"/>
    <w:rsid w:val="17C374FC"/>
    <w:rsid w:val="182E4AB6"/>
    <w:rsid w:val="189079DC"/>
    <w:rsid w:val="189B0D0B"/>
    <w:rsid w:val="18B43F7C"/>
    <w:rsid w:val="194A1770"/>
    <w:rsid w:val="19B906A4"/>
    <w:rsid w:val="1AA8537F"/>
    <w:rsid w:val="1B566818"/>
    <w:rsid w:val="1B6F15B6"/>
    <w:rsid w:val="1BAA2EDC"/>
    <w:rsid w:val="1CA55E64"/>
    <w:rsid w:val="1D014A01"/>
    <w:rsid w:val="1D022362"/>
    <w:rsid w:val="1D1B04B0"/>
    <w:rsid w:val="1DA52501"/>
    <w:rsid w:val="1DBD6767"/>
    <w:rsid w:val="1DC52125"/>
    <w:rsid w:val="1DD26311"/>
    <w:rsid w:val="1E374ACB"/>
    <w:rsid w:val="1ECF0A66"/>
    <w:rsid w:val="1EF67CA4"/>
    <w:rsid w:val="1F020D3A"/>
    <w:rsid w:val="1F2C5189"/>
    <w:rsid w:val="1F4B0B02"/>
    <w:rsid w:val="1FBB35CD"/>
    <w:rsid w:val="1FCD26AF"/>
    <w:rsid w:val="20642787"/>
    <w:rsid w:val="213039A9"/>
    <w:rsid w:val="21556F04"/>
    <w:rsid w:val="22403BD3"/>
    <w:rsid w:val="242666CE"/>
    <w:rsid w:val="24B92327"/>
    <w:rsid w:val="24C14514"/>
    <w:rsid w:val="2533755C"/>
    <w:rsid w:val="25791755"/>
    <w:rsid w:val="26396DF4"/>
    <w:rsid w:val="27167136"/>
    <w:rsid w:val="271B442C"/>
    <w:rsid w:val="27B23302"/>
    <w:rsid w:val="29310A5F"/>
    <w:rsid w:val="29C37A35"/>
    <w:rsid w:val="2A076083"/>
    <w:rsid w:val="2A567981"/>
    <w:rsid w:val="2A73162E"/>
    <w:rsid w:val="2B167953"/>
    <w:rsid w:val="2B200583"/>
    <w:rsid w:val="2B8209DE"/>
    <w:rsid w:val="2C636760"/>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5E0F5F"/>
    <w:rsid w:val="3F694D83"/>
    <w:rsid w:val="3F885DCC"/>
    <w:rsid w:val="3FCD675E"/>
    <w:rsid w:val="4004000C"/>
    <w:rsid w:val="40BD5482"/>
    <w:rsid w:val="411B6CE5"/>
    <w:rsid w:val="412070D7"/>
    <w:rsid w:val="41314E40"/>
    <w:rsid w:val="41404B99"/>
    <w:rsid w:val="41E0734B"/>
    <w:rsid w:val="426C1EA8"/>
    <w:rsid w:val="42736402"/>
    <w:rsid w:val="42E86A87"/>
    <w:rsid w:val="43307B09"/>
    <w:rsid w:val="433F5964"/>
    <w:rsid w:val="439A3EB9"/>
    <w:rsid w:val="43BB152F"/>
    <w:rsid w:val="44C37687"/>
    <w:rsid w:val="45546650"/>
    <w:rsid w:val="45CB699A"/>
    <w:rsid w:val="465B470D"/>
    <w:rsid w:val="469D6AD4"/>
    <w:rsid w:val="471E6C84"/>
    <w:rsid w:val="4748792B"/>
    <w:rsid w:val="475D719D"/>
    <w:rsid w:val="47674801"/>
    <w:rsid w:val="48225EF7"/>
    <w:rsid w:val="488F422B"/>
    <w:rsid w:val="48E36915"/>
    <w:rsid w:val="48EB6572"/>
    <w:rsid w:val="495C4A24"/>
    <w:rsid w:val="497135DF"/>
    <w:rsid w:val="4A263DF2"/>
    <w:rsid w:val="4A333201"/>
    <w:rsid w:val="4A6F6675"/>
    <w:rsid w:val="4B135857"/>
    <w:rsid w:val="4B7951CB"/>
    <w:rsid w:val="4B7C315C"/>
    <w:rsid w:val="4DAC4ACA"/>
    <w:rsid w:val="4DBE01D2"/>
    <w:rsid w:val="4F0C6BA3"/>
    <w:rsid w:val="4F186D58"/>
    <w:rsid w:val="4FA50ACC"/>
    <w:rsid w:val="50F06B6E"/>
    <w:rsid w:val="51D21804"/>
    <w:rsid w:val="52234D33"/>
    <w:rsid w:val="522F6E0C"/>
    <w:rsid w:val="52463BA1"/>
    <w:rsid w:val="52F163D4"/>
    <w:rsid w:val="531A2DB4"/>
    <w:rsid w:val="53C0244D"/>
    <w:rsid w:val="53DD4D4E"/>
    <w:rsid w:val="53E578CE"/>
    <w:rsid w:val="541330F0"/>
    <w:rsid w:val="54272666"/>
    <w:rsid w:val="543B029D"/>
    <w:rsid w:val="54516B2F"/>
    <w:rsid w:val="54861779"/>
    <w:rsid w:val="552256E1"/>
    <w:rsid w:val="554E5773"/>
    <w:rsid w:val="555829E0"/>
    <w:rsid w:val="555A3CBC"/>
    <w:rsid w:val="5582012B"/>
    <w:rsid w:val="558E4E05"/>
    <w:rsid w:val="55BE2E85"/>
    <w:rsid w:val="56513834"/>
    <w:rsid w:val="56530F5D"/>
    <w:rsid w:val="567700D3"/>
    <w:rsid w:val="56FF7E9E"/>
    <w:rsid w:val="578867FC"/>
    <w:rsid w:val="57AB24C9"/>
    <w:rsid w:val="5842572D"/>
    <w:rsid w:val="5A3B59D6"/>
    <w:rsid w:val="5AD134D8"/>
    <w:rsid w:val="5C263CE4"/>
    <w:rsid w:val="5C5D2777"/>
    <w:rsid w:val="5CF66BF3"/>
    <w:rsid w:val="5D290C69"/>
    <w:rsid w:val="5E4B7916"/>
    <w:rsid w:val="5F2D4A41"/>
    <w:rsid w:val="60C74F6C"/>
    <w:rsid w:val="61025A59"/>
    <w:rsid w:val="613D5BBC"/>
    <w:rsid w:val="61536C39"/>
    <w:rsid w:val="61A927B6"/>
    <w:rsid w:val="62944DD7"/>
    <w:rsid w:val="6319381F"/>
    <w:rsid w:val="63C25DC5"/>
    <w:rsid w:val="63C62057"/>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B840B7"/>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5"/>
    <w:qFormat/>
    <w:uiPriority w:val="0"/>
    <w:rPr>
      <w:sz w:val="18"/>
      <w:szCs w:val="18"/>
    </w:rPr>
  </w:style>
  <w:style w:type="paragraph" w:styleId="3">
    <w:name w:val="footer"/>
    <w:basedOn w:val="1"/>
    <w:qFormat/>
    <w:uiPriority w:val="0"/>
    <w:pPr>
      <w:tabs>
        <w:tab w:val="center" w:pos="4153"/>
        <w:tab w:val="right" w:pos="8306"/>
      </w:tabs>
      <w:snapToGrid w:val="0"/>
    </w:pPr>
    <w:rPr>
      <w:sz w:val="18"/>
      <w:szCs w:val="18"/>
    </w:rPr>
  </w:style>
  <w:style w:type="paragraph" w:styleId="4">
    <w:name w:val="header"/>
    <w:basedOn w:val="1"/>
    <w:qFormat/>
    <w:uiPriority w:val="0"/>
    <w:pPr>
      <w:tabs>
        <w:tab w:val="center" w:pos="4153"/>
        <w:tab w:val="right" w:pos="8306"/>
      </w:tabs>
      <w:snapToGrid w:val="0"/>
      <w:jc w:val="center"/>
    </w:pPr>
    <w:rPr>
      <w:sz w:val="18"/>
      <w:szCs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6">
    <w:name w:val="Normal (Web)"/>
    <w:basedOn w:val="1"/>
    <w:unhideWhenUsed/>
    <w:qFormat/>
    <w:uiPriority w:val="0"/>
    <w:pPr>
      <w:spacing w:before="100" w:beforeAutospacing="1" w:after="100" w:afterAutospacing="1"/>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qFormat/>
    <w:uiPriority w:val="0"/>
    <w:rPr>
      <w:b/>
    </w:rPr>
  </w:style>
  <w:style w:type="paragraph" w:customStyle="1" w:styleId="11">
    <w:name w:val="列出段落1"/>
    <w:basedOn w:val="1"/>
    <w:qFormat/>
    <w:uiPriority w:val="99"/>
    <w:pPr>
      <w:ind w:firstLine="420" w:firstLineChars="200"/>
    </w:pPr>
    <w:rPr>
      <w:rFonts w:hint="default"/>
    </w:rPr>
  </w:style>
  <w:style w:type="paragraph" w:customStyle="1" w:styleId="12">
    <w:name w:val="普通(网站) Char"/>
    <w:qFormat/>
    <w:uiPriority w:val="0"/>
    <w:pPr>
      <w:spacing w:before="100" w:beforeAutospacing="1" w:after="100" w:afterAutospacing="1"/>
    </w:pPr>
    <w:rPr>
      <w:rFonts w:ascii="宋体" w:hAnsi="宋体" w:eastAsia="宋体" w:cs="Times New Roman"/>
      <w:sz w:val="24"/>
      <w:szCs w:val="24"/>
      <w:lang w:val="en-US" w:eastAsia="zh-CN" w:bidi="ar-SA"/>
    </w:rPr>
  </w:style>
  <w:style w:type="character" w:customStyle="1" w:styleId="13">
    <w:name w:val="21"/>
    <w:qFormat/>
    <w:uiPriority w:val="0"/>
    <w:rPr>
      <w:rFonts w:hint="default" w:ascii="Wingdings" w:hAnsi="Wingdings" w:cs="Wingdings"/>
      <w:b/>
      <w:bCs/>
    </w:rPr>
  </w:style>
  <w:style w:type="paragraph" w:customStyle="1" w:styleId="14">
    <w:name w:val="列出段落2"/>
    <w:qFormat/>
    <w:uiPriority w:val="99"/>
    <w:pPr>
      <w:ind w:firstLine="420" w:firstLineChars="200"/>
    </w:pPr>
    <w:rPr>
      <w:rFonts w:ascii="宋体" w:hAnsi="宋体" w:eastAsia="宋体" w:cs="Times New Roman"/>
      <w:sz w:val="24"/>
      <w:szCs w:val="24"/>
      <w:lang w:val="en-US" w:eastAsia="zh-CN" w:bidi="ar-SA"/>
    </w:rPr>
  </w:style>
  <w:style w:type="character" w:customStyle="1" w:styleId="15">
    <w:name w:val="批注框文本 Char"/>
    <w:basedOn w:val="9"/>
    <w:link w:val="2"/>
    <w:qFormat/>
    <w:uiPriority w:val="0"/>
    <w:rPr>
      <w:rFonts w:ascii="宋体" w:hAnsi="宋体"/>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4001</Words>
  <Characters>22811</Characters>
  <Lines>190</Lines>
  <Paragraphs>53</Paragraphs>
  <TotalTime>1</TotalTime>
  <ScaleCrop>false</ScaleCrop>
  <LinksUpToDate>false</LinksUpToDate>
  <CharactersWithSpaces>26759</CharactersWithSpaces>
  <Application>WPS Office_11.8.2.12055_F1E327BC-269C-435d-A152-05C5408002CA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杨丹</cp:lastModifiedBy>
  <dcterms:modified xsi:type="dcterms:W3CDTF">2024-10-21T08:01:14Z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2052-11.8.2.12055</vt:lpwstr>
  </property>
  <property fmtid="{D5CDD505-2E9C-101B-9397-08002B2CF9AE}" pid="3" name="ICV">
    <vt:lpwstr>BB46EABDBB2749749395447164B066B3_12</vt:lpwstr>
  </property>
</Properties>
</file>